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2.0 -->
  <w:body>
    <w:p w:rsidR="00FC4297" w14:paraId="0919FA75" w14:textId="17F69DD1">
      <w:r>
        <w:t>Testimony of Sara Dorland for June 3</w:t>
      </w:r>
      <w:r w:rsidR="006124AE">
        <w:t>,</w:t>
      </w:r>
      <w:r>
        <w:t xml:space="preserve"> </w:t>
      </w:r>
      <w:r>
        <w:t>2026</w:t>
      </w:r>
      <w:r>
        <w:t xml:space="preserve"> Over Order Premium Hearing</w:t>
      </w:r>
    </w:p>
    <w:p w:rsidR="004B3594" w14:paraId="12F827AE" w14:textId="79569188">
      <w:r>
        <w:t>Since the implementation of the Federal Milk Marketing Order (FMMO) in May 2025, several changes have implications for Pennsylvania dairy producers and processors alike.</w:t>
      </w:r>
      <w:r w:rsidR="00154C6E">
        <w:t xml:space="preserve"> </w:t>
      </w:r>
      <w:r w:rsidR="00787F10">
        <w:t>C</w:t>
      </w:r>
      <w:r w:rsidR="00154C6E">
        <w:t xml:space="preserve">hanges like the make allowance and Class I differential update  have exacerbated the challenges already confronting </w:t>
      </w:r>
      <w:r w:rsidR="00787F10">
        <w:t xml:space="preserve">the Class I sector in </w:t>
      </w:r>
      <w:r w:rsidR="00154C6E">
        <w:t>Pennsylvania. While the Class I differential maps were simplified and prices were raised, these changes led to</w:t>
      </w:r>
      <w:r>
        <w:t xml:space="preserve"> more money moving from Pennsylvania</w:t>
      </w:r>
      <w:r w:rsidR="000177ED">
        <w:t>’s Class I</w:t>
      </w:r>
      <w:r>
        <w:t xml:space="preserve"> dairy producers to </w:t>
      </w:r>
      <w:r w:rsidR="000177ED">
        <w:t xml:space="preserve">manufacturing in Pennsylvania, and all classes </w:t>
      </w:r>
      <w:r>
        <w:t xml:space="preserve">in New York, Ohio, Indiana, and Michigan. The Pennsylvania over-order premium remain </w:t>
      </w:r>
      <w:r w:rsidR="000177ED">
        <w:t xml:space="preserve">vital as an antidote </w:t>
      </w:r>
      <w:r w:rsidR="00154C6E">
        <w:t>to address imbalances caused by the FMMO system that are detrimental to dairy producers and processors</w:t>
      </w:r>
      <w:r w:rsidR="000177ED">
        <w:t xml:space="preserve"> in Pennsylvania</w:t>
      </w:r>
      <w:r>
        <w:t>.</w:t>
      </w:r>
    </w:p>
    <w:p w:rsidR="003B16C1" w:rsidP="003B16C1" w14:paraId="5516F249" w14:textId="77777777">
      <w:r>
        <w:t>The Pennsylvania Milk Board website states that, “</w:t>
      </w:r>
      <w:r w:rsidRPr="00E20882">
        <w:t>Pennsylvania's dairy industry is a vital contributor to the Commonwealth's agricultural economy.</w:t>
      </w:r>
      <w:r>
        <w:t>” It goes on to highlight the qualitative improvements the dairy industry brings to the state and its citizens, including open-space preservation, employment opportunities, and local dairy product supply</w:t>
      </w:r>
      <w:r w:rsidR="00154C6E">
        <w:t>, which is even more relevant given the national average fuel cost of $4.50/gallon</w:t>
      </w:r>
      <w:r>
        <w:t>. All of those attributes highlighted suggest that Pennsylvania</w:t>
      </w:r>
      <w:r w:rsidR="00154C6E">
        <w:t>’s dairy industry</w:t>
      </w:r>
      <w:r>
        <w:t xml:space="preserve"> has an intrinsic value</w:t>
      </w:r>
      <w:r w:rsidR="00154C6E">
        <w:t xml:space="preserve"> to the state, and the Milk Board should</w:t>
      </w:r>
      <w:r>
        <w:t xml:space="preserve"> tak</w:t>
      </w:r>
      <w:r w:rsidR="00154C6E">
        <w:t>e</w:t>
      </w:r>
      <w:r>
        <w:t xml:space="preserve"> steps to </w:t>
      </w:r>
      <w:r w:rsidR="00154C6E">
        <w:t>ensure its survival</w:t>
      </w:r>
      <w:r>
        <w:t xml:space="preserve">. While the focus of this discussion is on the merits of an over-order premium </w:t>
      </w:r>
      <w:r w:rsidR="00154C6E">
        <w:t>applicable to</w:t>
      </w:r>
      <w:r>
        <w:t xml:space="preserve"> bottled milk and some cultured milk products, it should be understood that those products </w:t>
      </w:r>
      <w:r w:rsidR="00154C6E">
        <w:t>support</w:t>
      </w:r>
      <w:r>
        <w:t xml:space="preserve"> a broader dairy portfolio, including its 27 cheese operations, 15 yogurt operations, one milk powder operation, eight butter operations, and 12 ice cream facilities</w:t>
      </w:r>
      <w:r>
        <w:rPr>
          <w:rStyle w:val="FootnoteReference"/>
        </w:rPr>
        <w:footnoteReference w:id="2"/>
      </w:r>
      <w:r>
        <w:t>, along with the dairy producers that supply those plants.</w:t>
      </w:r>
    </w:p>
    <w:p w:rsidR="00080FE3" w:rsidP="003B16C1" w14:paraId="6C59BD93" w14:textId="77777777">
      <w:pPr>
        <w:pStyle w:val="Heading1"/>
      </w:pPr>
      <w:r>
        <w:t>Pennsylvania Production Data</w:t>
      </w:r>
    </w:p>
    <w:p w:rsidR="00154C6E" w14:paraId="49CA8F30" w14:textId="77777777">
      <w:r>
        <w:t xml:space="preserve">Over the past five years, Pennsylvania’s milk production declined to 9.74 billion pounds in 2025, </w:t>
      </w:r>
      <w:r w:rsidR="004307BD">
        <w:t xml:space="preserve">a 5.3% decline from 2020 and 9.3% drop from 2010. From 2020 to 2025, Pennsylvania has lost 1,070 dairy producers and 40.6% of dairy farms since 2010. While declining farm numbers are a nationwide phenomenon, the drop in milk is not. US milk production increased 3.8% between 2020 and 2025. At the same time, the US Census Bureau reported that the state’s population increased by 63,856 people, suggesting that more of the state’s dairy is being imported from other states to meet regional per capita demand. </w:t>
      </w:r>
    </w:p>
    <w:p w:rsidR="008677E3" w14:paraId="7AE3F5BB" w14:textId="77777777">
      <w:r>
        <w:t>In 2024, Federal Order #1 (FO1) reported 7.83 billion pounds of Class I milk utilization. That same year, New York reported 3.09 billion pounds</w:t>
      </w:r>
      <w:r>
        <w:rPr>
          <w:rStyle w:val="FootnoteReference"/>
        </w:rPr>
        <w:footnoteReference w:id="3"/>
      </w:r>
      <w:r>
        <w:t xml:space="preserve"> of fluid milk sales – accounting for 39.4% of FO1 Class I sales. The data </w:t>
      </w:r>
      <w:r w:rsidR="00483C80">
        <w:t>impl</w:t>
      </w:r>
      <w:r w:rsidR="000177ED">
        <w:t>ies</w:t>
      </w:r>
      <w:r>
        <w:t xml:space="preserve"> that the remaining 46 plants</w:t>
      </w:r>
      <w:r>
        <w:rPr>
          <w:rStyle w:val="FootnoteReference"/>
        </w:rPr>
        <w:footnoteReference w:id="4"/>
      </w:r>
      <w:r>
        <w:t xml:space="preserve">, of which 15 are in Pennsylvania, </w:t>
      </w:r>
      <w:r w:rsidR="00483C80">
        <w:t>produced</w:t>
      </w:r>
      <w:r>
        <w:t xml:space="preserve"> the remaining </w:t>
      </w:r>
      <w:r w:rsidR="00483C80">
        <w:t xml:space="preserve">59.4% of Class I milk. It also indicates that Pennsylvania </w:t>
      </w:r>
      <w:r w:rsidR="004307BD">
        <w:t>had</w:t>
      </w:r>
      <w:r w:rsidR="00483C80">
        <w:t xml:space="preserve"> the second-largest </w:t>
      </w:r>
      <w:r w:rsidR="004307BD">
        <w:t xml:space="preserve">count of </w:t>
      </w:r>
      <w:r w:rsidR="00483C80">
        <w:t xml:space="preserve">Class I </w:t>
      </w:r>
      <w:r w:rsidR="004307BD">
        <w:t>processing assets</w:t>
      </w:r>
      <w:r w:rsidR="00483C80">
        <w:t xml:space="preserve"> in FO1, behind New York</w:t>
      </w:r>
      <w:r w:rsidR="004307BD">
        <w:t xml:space="preserve"> (16)</w:t>
      </w:r>
      <w:r w:rsidR="00483C80">
        <w:t xml:space="preserve">, and </w:t>
      </w:r>
      <w:r w:rsidR="004307BD">
        <w:t xml:space="preserve">was </w:t>
      </w:r>
      <w:r w:rsidR="00483C80">
        <w:t>a meaningful contributor to the blend price paid to producers.</w:t>
      </w:r>
    </w:p>
    <w:p w:rsidR="00454F34" w14:paraId="16570A36" w14:textId="77777777">
      <w:r>
        <w:t xml:space="preserve">Some western Pennsylvania counties are in Federal Order #33 (FO33). In 2024, FO33 reported sales of 6.87 billion pounds of fluid milk. In that order, Pennsylvania accounted for 930.5 million pounds of milk or 5.1% of the milk pooled on the order. That order contains several large processing facilities, including Blue Kingfisher, Fairlife, Tamarack Farms, Nestle, Mountaintop, and Superior Dairy, that will tend to dominate production. The data suggest that while Pennsylvania plants have a higher Class I differential, </w:t>
      </w:r>
      <w:r w:rsidR="00574A05">
        <w:t>their volumes are smaller relative to those of</w:t>
      </w:r>
      <w:r>
        <w:t xml:space="preserve"> larger processors in the region.</w:t>
      </w:r>
      <w:r w:rsidR="00574A05">
        <w:t xml:space="preserve"> Without exception, Pennsylvania Class I bottlers had the highest differentials in 2024, resulting in a proportionately higher contribution to the blend price.</w:t>
      </w:r>
    </w:p>
    <w:p w:rsidR="00574A05" w14:paraId="242F7616" w14:textId="77777777">
      <w:pPr>
        <w:sectPr>
          <w:pgSz w:w="12240" w:h="15840"/>
          <w:pgMar w:top="1440" w:right="1440" w:bottom="1440" w:left="1440" w:header="720" w:footer="720" w:gutter="0"/>
          <w:cols w:space="720"/>
          <w:docGrid w:linePitch="360"/>
        </w:sectPr>
      </w:pPr>
      <w:r>
        <w:t xml:space="preserve">Employing the </w:t>
      </w:r>
      <w:r w:rsidRPr="00483C80">
        <w:rPr>
          <w:i/>
          <w:iCs/>
        </w:rPr>
        <w:t>Economic Impact of Elimination of Pennsylvania’s Minimum Milk Pricing System</w:t>
      </w:r>
      <w:r>
        <w:rPr>
          <w:rStyle w:val="FootnoteReference"/>
          <w:i/>
          <w:iCs/>
        </w:rPr>
        <w:footnoteReference w:id="5"/>
      </w:r>
      <w:r>
        <w:t xml:space="preserve"> </w:t>
      </w:r>
      <w:r w:rsidR="00454F34">
        <w:t>and b</w:t>
      </w:r>
      <w:r>
        <w:t>ased on the noted output trends, the following table provides estimates of Pennsylvania’s bottling activity in 2023 and 2024 using a linear trend analysis.</w:t>
      </w:r>
      <w:r w:rsidR="00E20882">
        <w:t xml:space="preserve"> Pennsylvania’s milk production continues to trend lower, as does fluid milk production, but it continues to maintain approximately 17% of total milk production. Class II sales are likely to </w:t>
      </w:r>
      <w:r w:rsidR="004307BD">
        <w:t xml:space="preserve">exceed forecast, given the sizeable uptick in cultured production </w:t>
      </w:r>
      <w:r w:rsidR="00E20882">
        <w:t>over the past two years.</w:t>
      </w:r>
    </w:p>
    <w:p w:rsidR="00483C80" w:rsidP="00454F34" w14:paraId="4BD1F3DF" w14:textId="77777777">
      <w:pPr>
        <w:pStyle w:val="Heading2"/>
      </w:pPr>
      <w:r>
        <w:t>Table 1</w:t>
      </w:r>
      <w:r w:rsidR="00E20882">
        <w:t>. Forecast Fluid Milk Sales</w:t>
      </w:r>
    </w:p>
    <w:tbl>
      <w:tblPr>
        <w:tblW w:w="13844" w:type="dxa"/>
        <w:tblLook w:val="04A0"/>
      </w:tblPr>
      <w:tblGrid>
        <w:gridCol w:w="3690"/>
        <w:gridCol w:w="1255"/>
        <w:gridCol w:w="1174"/>
        <w:gridCol w:w="1182"/>
        <w:gridCol w:w="1174"/>
        <w:gridCol w:w="1174"/>
        <w:gridCol w:w="1069"/>
        <w:gridCol w:w="1069"/>
        <w:gridCol w:w="1069"/>
        <w:gridCol w:w="988"/>
      </w:tblGrid>
      <w:tr w14:paraId="0B2DCB58" w14:textId="77777777" w:rsidTr="00E20882">
        <w:tblPrEx>
          <w:tblW w:w="13844" w:type="dxa"/>
          <w:tblLook w:val="04A0"/>
        </w:tblPrEx>
        <w:trPr>
          <w:trHeight w:val="286"/>
        </w:trPr>
        <w:tc>
          <w:tcPr>
            <w:tcW w:w="3690" w:type="dxa"/>
            <w:tcBorders>
              <w:top w:val="single" w:sz="4" w:space="0" w:color="auto"/>
              <w:left w:val="nil"/>
              <w:bottom w:val="single" w:sz="4" w:space="0" w:color="auto"/>
              <w:right w:val="nil"/>
            </w:tcBorders>
            <w:noWrap/>
            <w:vAlign w:val="bottom"/>
            <w:hideMark/>
          </w:tcPr>
          <w:p w:rsidR="00574A05" w:rsidRPr="00574A05" w:rsidP="00574A05" w14:paraId="50858F99"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w:t>
            </w:r>
          </w:p>
        </w:tc>
        <w:tc>
          <w:tcPr>
            <w:tcW w:w="1255" w:type="dxa"/>
            <w:tcBorders>
              <w:top w:val="single" w:sz="4" w:space="0" w:color="auto"/>
              <w:left w:val="nil"/>
              <w:bottom w:val="single" w:sz="4" w:space="0" w:color="auto"/>
              <w:right w:val="nil"/>
            </w:tcBorders>
            <w:noWrap/>
            <w:vAlign w:val="bottom"/>
            <w:hideMark/>
          </w:tcPr>
          <w:p w:rsidR="00574A05" w:rsidRPr="00574A05" w:rsidP="00574A05" w14:paraId="2EE2B567"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2017</w:t>
            </w:r>
          </w:p>
        </w:tc>
        <w:tc>
          <w:tcPr>
            <w:tcW w:w="1174" w:type="dxa"/>
            <w:tcBorders>
              <w:top w:val="single" w:sz="4" w:space="0" w:color="auto"/>
              <w:left w:val="nil"/>
              <w:bottom w:val="single" w:sz="4" w:space="0" w:color="auto"/>
              <w:right w:val="nil"/>
            </w:tcBorders>
            <w:noWrap/>
            <w:vAlign w:val="bottom"/>
            <w:hideMark/>
          </w:tcPr>
          <w:p w:rsidR="00574A05" w:rsidRPr="00574A05" w:rsidP="00574A05" w14:paraId="4A55FB92"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2018</w:t>
            </w:r>
          </w:p>
        </w:tc>
        <w:tc>
          <w:tcPr>
            <w:tcW w:w="1182" w:type="dxa"/>
            <w:tcBorders>
              <w:top w:val="single" w:sz="4" w:space="0" w:color="auto"/>
              <w:left w:val="nil"/>
              <w:bottom w:val="single" w:sz="4" w:space="0" w:color="auto"/>
              <w:right w:val="nil"/>
            </w:tcBorders>
            <w:noWrap/>
            <w:vAlign w:val="bottom"/>
            <w:hideMark/>
          </w:tcPr>
          <w:p w:rsidR="00574A05" w:rsidRPr="00574A05" w:rsidP="00574A05" w14:paraId="5FA0F0FF"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2019</w:t>
            </w:r>
          </w:p>
        </w:tc>
        <w:tc>
          <w:tcPr>
            <w:tcW w:w="1174" w:type="dxa"/>
            <w:tcBorders>
              <w:top w:val="single" w:sz="4" w:space="0" w:color="auto"/>
              <w:left w:val="nil"/>
              <w:bottom w:val="single" w:sz="4" w:space="0" w:color="auto"/>
              <w:right w:val="nil"/>
            </w:tcBorders>
            <w:noWrap/>
            <w:vAlign w:val="bottom"/>
            <w:hideMark/>
          </w:tcPr>
          <w:p w:rsidR="00574A05" w:rsidRPr="00574A05" w:rsidP="00574A05" w14:paraId="3C4A4220"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2020</w:t>
            </w:r>
          </w:p>
        </w:tc>
        <w:tc>
          <w:tcPr>
            <w:tcW w:w="1174" w:type="dxa"/>
            <w:tcBorders>
              <w:top w:val="single" w:sz="4" w:space="0" w:color="auto"/>
              <w:left w:val="nil"/>
              <w:bottom w:val="single" w:sz="4" w:space="0" w:color="auto"/>
              <w:right w:val="nil"/>
            </w:tcBorders>
            <w:noWrap/>
            <w:vAlign w:val="bottom"/>
            <w:hideMark/>
          </w:tcPr>
          <w:p w:rsidR="00574A05" w:rsidRPr="00574A05" w:rsidP="00574A05" w14:paraId="07D79727"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2021</w:t>
            </w:r>
          </w:p>
        </w:tc>
        <w:tc>
          <w:tcPr>
            <w:tcW w:w="1069" w:type="dxa"/>
            <w:tcBorders>
              <w:top w:val="single" w:sz="4" w:space="0" w:color="auto"/>
              <w:left w:val="nil"/>
              <w:bottom w:val="single" w:sz="4" w:space="0" w:color="auto"/>
              <w:right w:val="nil"/>
            </w:tcBorders>
            <w:noWrap/>
            <w:vAlign w:val="bottom"/>
            <w:hideMark/>
          </w:tcPr>
          <w:p w:rsidR="00574A05" w:rsidRPr="00574A05" w:rsidP="00574A05" w14:paraId="74CE5841"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2022</w:t>
            </w:r>
          </w:p>
        </w:tc>
        <w:tc>
          <w:tcPr>
            <w:tcW w:w="1069" w:type="dxa"/>
            <w:tcBorders>
              <w:top w:val="single" w:sz="4" w:space="0" w:color="auto"/>
              <w:left w:val="nil"/>
              <w:bottom w:val="single" w:sz="4" w:space="0" w:color="auto"/>
              <w:right w:val="nil"/>
            </w:tcBorders>
            <w:noWrap/>
            <w:vAlign w:val="bottom"/>
            <w:hideMark/>
          </w:tcPr>
          <w:p w:rsidR="00574A05" w:rsidRPr="00574A05" w:rsidP="00574A05" w14:paraId="2B1CB272"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2023</w:t>
            </w:r>
          </w:p>
        </w:tc>
        <w:tc>
          <w:tcPr>
            <w:tcW w:w="1069" w:type="dxa"/>
            <w:tcBorders>
              <w:top w:val="single" w:sz="4" w:space="0" w:color="auto"/>
              <w:left w:val="nil"/>
              <w:bottom w:val="single" w:sz="4" w:space="0" w:color="auto"/>
              <w:right w:val="nil"/>
            </w:tcBorders>
            <w:noWrap/>
            <w:vAlign w:val="bottom"/>
            <w:hideMark/>
          </w:tcPr>
          <w:p w:rsidR="00574A05" w:rsidRPr="00574A05" w:rsidP="00574A05" w14:paraId="06F68A92" w14:textId="77777777">
            <w:pPr>
              <w:spacing w:after="0" w:line="240" w:lineRule="auto"/>
              <w:jc w:val="center"/>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2024</w:t>
            </w:r>
          </w:p>
        </w:tc>
        <w:tc>
          <w:tcPr>
            <w:tcW w:w="988" w:type="dxa"/>
            <w:tcBorders>
              <w:top w:val="nil"/>
              <w:left w:val="nil"/>
              <w:bottom w:val="nil"/>
              <w:right w:val="nil"/>
            </w:tcBorders>
            <w:noWrap/>
            <w:vAlign w:val="bottom"/>
            <w:hideMark/>
          </w:tcPr>
          <w:p w:rsidR="00574A05" w:rsidRPr="00574A05" w:rsidP="00574A05" w14:paraId="3B2EBDA2" w14:textId="77777777">
            <w:pPr>
              <w:spacing w:after="0" w:line="240" w:lineRule="auto"/>
              <w:jc w:val="center"/>
              <w:rPr>
                <w:rFonts w:ascii="Aptos Narrow" w:eastAsia="Times New Roman" w:hAnsi="Aptos Narrow" w:cs="Times New Roman"/>
                <w:b/>
                <w:bCs/>
                <w:color w:val="000000"/>
                <w:kern w:val="0"/>
                <w:sz w:val="22"/>
                <w:szCs w:val="22"/>
                <w14:ligatures w14:val="none"/>
              </w:rPr>
            </w:pPr>
          </w:p>
        </w:tc>
      </w:tr>
      <w:tr w14:paraId="7CEF6FB5" w14:textId="77777777" w:rsidTr="00E20882">
        <w:tblPrEx>
          <w:tblW w:w="13844" w:type="dxa"/>
          <w:tblLook w:val="04A0"/>
        </w:tblPrEx>
        <w:trPr>
          <w:trHeight w:val="286"/>
        </w:trPr>
        <w:tc>
          <w:tcPr>
            <w:tcW w:w="3690" w:type="dxa"/>
            <w:tcBorders>
              <w:top w:val="nil"/>
              <w:left w:val="nil"/>
              <w:bottom w:val="nil"/>
              <w:right w:val="nil"/>
            </w:tcBorders>
            <w:noWrap/>
            <w:vAlign w:val="bottom"/>
            <w:hideMark/>
          </w:tcPr>
          <w:p w:rsidR="00574A05" w:rsidRPr="00574A05" w:rsidP="00574A05" w14:paraId="76DE9A20" w14:textId="77777777">
            <w:pPr>
              <w:spacing w:after="0" w:line="240" w:lineRule="auto"/>
              <w:rPr>
                <w:rFonts w:ascii="Aptos Narrow" w:eastAsia="Times New Roman" w:hAnsi="Aptos Narrow" w:cs="Times New Roman"/>
                <w:b/>
                <w:bCs/>
                <w:color w:val="000000"/>
                <w:kern w:val="0"/>
                <w:sz w:val="22"/>
                <w:szCs w:val="22"/>
                <w14:ligatures w14:val="none"/>
              </w:rPr>
            </w:pPr>
            <w:r w:rsidRPr="00574A05">
              <w:rPr>
                <w:rFonts w:ascii="Aptos Narrow" w:eastAsia="Times New Roman" w:hAnsi="Aptos Narrow" w:cs="Times New Roman"/>
                <w:b/>
                <w:bCs/>
                <w:color w:val="000000"/>
                <w:kern w:val="0"/>
                <w:sz w:val="22"/>
                <w:szCs w:val="22"/>
                <w14:ligatures w14:val="none"/>
              </w:rPr>
              <w:t>Pennsylvania Milk Production:</w:t>
            </w:r>
          </w:p>
        </w:tc>
        <w:tc>
          <w:tcPr>
            <w:tcW w:w="1255" w:type="dxa"/>
            <w:tcBorders>
              <w:top w:val="nil"/>
              <w:left w:val="nil"/>
              <w:bottom w:val="nil"/>
              <w:right w:val="nil"/>
            </w:tcBorders>
            <w:noWrap/>
            <w:vAlign w:val="bottom"/>
            <w:hideMark/>
          </w:tcPr>
          <w:p w:rsidR="00574A05" w:rsidRPr="00574A05" w:rsidP="00574A05" w14:paraId="54CBAF71" w14:textId="77777777">
            <w:pPr>
              <w:spacing w:after="0" w:line="240" w:lineRule="auto"/>
              <w:rPr>
                <w:rFonts w:ascii="Aptos Narrow" w:eastAsia="Times New Roman" w:hAnsi="Aptos Narrow" w:cs="Times New Roman"/>
                <w:b/>
                <w:bCs/>
                <w:color w:val="000000"/>
                <w:kern w:val="0"/>
                <w:sz w:val="22"/>
                <w:szCs w:val="22"/>
                <w14:ligatures w14:val="none"/>
              </w:rPr>
            </w:pPr>
          </w:p>
        </w:tc>
        <w:tc>
          <w:tcPr>
            <w:tcW w:w="1174" w:type="dxa"/>
            <w:tcBorders>
              <w:top w:val="nil"/>
              <w:left w:val="nil"/>
              <w:bottom w:val="nil"/>
              <w:right w:val="nil"/>
            </w:tcBorders>
            <w:noWrap/>
            <w:vAlign w:val="bottom"/>
            <w:hideMark/>
          </w:tcPr>
          <w:p w:rsidR="00574A05" w:rsidRPr="00574A05" w:rsidP="00574A05" w14:paraId="25165898" w14:textId="77777777">
            <w:pPr>
              <w:spacing w:after="0" w:line="240" w:lineRule="auto"/>
              <w:rPr>
                <w:rFonts w:ascii="Times New Roman" w:eastAsia="Times New Roman" w:hAnsi="Times New Roman" w:cs="Times New Roman"/>
                <w:kern w:val="0"/>
                <w:sz w:val="20"/>
                <w:szCs w:val="20"/>
                <w14:ligatures w14:val="none"/>
              </w:rPr>
            </w:pPr>
          </w:p>
        </w:tc>
        <w:tc>
          <w:tcPr>
            <w:tcW w:w="1182" w:type="dxa"/>
            <w:tcBorders>
              <w:top w:val="nil"/>
              <w:left w:val="nil"/>
              <w:bottom w:val="nil"/>
              <w:right w:val="nil"/>
            </w:tcBorders>
            <w:noWrap/>
            <w:vAlign w:val="bottom"/>
            <w:hideMark/>
          </w:tcPr>
          <w:p w:rsidR="00574A05" w:rsidRPr="00574A05" w:rsidP="00574A05" w14:paraId="65519130"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053BD3B4"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63355E21"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11690B9B"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05EEF734"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3B8E3AB7" w14:textId="77777777">
            <w:pPr>
              <w:spacing w:after="0" w:line="240" w:lineRule="auto"/>
              <w:rPr>
                <w:rFonts w:ascii="Times New Roman" w:eastAsia="Times New Roman" w:hAnsi="Times New Roman" w:cs="Times New Roman"/>
                <w:kern w:val="0"/>
                <w:sz w:val="20"/>
                <w:szCs w:val="20"/>
                <w14:ligatures w14:val="none"/>
              </w:rPr>
            </w:pPr>
          </w:p>
        </w:tc>
        <w:tc>
          <w:tcPr>
            <w:tcW w:w="988" w:type="dxa"/>
            <w:tcBorders>
              <w:top w:val="nil"/>
              <w:left w:val="nil"/>
              <w:bottom w:val="nil"/>
              <w:right w:val="nil"/>
            </w:tcBorders>
            <w:noWrap/>
            <w:vAlign w:val="bottom"/>
            <w:hideMark/>
          </w:tcPr>
          <w:p w:rsidR="00574A05" w:rsidRPr="00574A05" w:rsidP="00574A05" w14:paraId="5A6F5A7E" w14:textId="77777777">
            <w:pPr>
              <w:spacing w:after="0" w:line="240" w:lineRule="auto"/>
              <w:rPr>
                <w:rFonts w:ascii="Times New Roman" w:eastAsia="Times New Roman" w:hAnsi="Times New Roman" w:cs="Times New Roman"/>
                <w:kern w:val="0"/>
                <w:sz w:val="20"/>
                <w:szCs w:val="20"/>
                <w14:ligatures w14:val="none"/>
              </w:rPr>
            </w:pPr>
          </w:p>
        </w:tc>
      </w:tr>
      <w:tr w14:paraId="1814A049"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089D6E17"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Supply to independent processors</w:t>
            </w:r>
          </w:p>
        </w:tc>
        <w:tc>
          <w:tcPr>
            <w:tcW w:w="1255" w:type="dxa"/>
            <w:tcBorders>
              <w:top w:val="nil"/>
              <w:left w:val="nil"/>
              <w:bottom w:val="nil"/>
              <w:right w:val="nil"/>
            </w:tcBorders>
            <w:noWrap/>
            <w:vAlign w:val="bottom"/>
            <w:hideMark/>
          </w:tcPr>
          <w:p w:rsidR="00574A05" w:rsidRPr="00574A05" w:rsidP="00574A05" w14:paraId="1A951B3C"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2,560 </w:t>
            </w:r>
          </w:p>
        </w:tc>
        <w:tc>
          <w:tcPr>
            <w:tcW w:w="1174" w:type="dxa"/>
            <w:tcBorders>
              <w:top w:val="nil"/>
              <w:left w:val="nil"/>
              <w:bottom w:val="nil"/>
              <w:right w:val="nil"/>
            </w:tcBorders>
            <w:noWrap/>
            <w:vAlign w:val="bottom"/>
            <w:hideMark/>
          </w:tcPr>
          <w:p w:rsidR="00574A05" w:rsidRPr="00574A05" w:rsidP="00574A05" w14:paraId="65428D1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2,213 </w:t>
            </w:r>
          </w:p>
        </w:tc>
        <w:tc>
          <w:tcPr>
            <w:tcW w:w="1182" w:type="dxa"/>
            <w:tcBorders>
              <w:top w:val="nil"/>
              <w:left w:val="nil"/>
              <w:bottom w:val="nil"/>
              <w:right w:val="nil"/>
            </w:tcBorders>
            <w:noWrap/>
            <w:vAlign w:val="bottom"/>
            <w:hideMark/>
          </w:tcPr>
          <w:p w:rsidR="00574A05" w:rsidRPr="00574A05" w:rsidP="00574A05" w14:paraId="452B58F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2,166 </w:t>
            </w:r>
          </w:p>
        </w:tc>
        <w:tc>
          <w:tcPr>
            <w:tcW w:w="1174" w:type="dxa"/>
            <w:tcBorders>
              <w:top w:val="nil"/>
              <w:left w:val="nil"/>
              <w:bottom w:val="nil"/>
              <w:right w:val="nil"/>
            </w:tcBorders>
            <w:noWrap/>
            <w:vAlign w:val="bottom"/>
            <w:hideMark/>
          </w:tcPr>
          <w:p w:rsidR="00574A05" w:rsidRPr="00574A05" w:rsidP="00574A05" w14:paraId="2B01AD2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2,239 </w:t>
            </w:r>
          </w:p>
        </w:tc>
        <w:tc>
          <w:tcPr>
            <w:tcW w:w="1174" w:type="dxa"/>
            <w:tcBorders>
              <w:top w:val="nil"/>
              <w:left w:val="nil"/>
              <w:bottom w:val="nil"/>
              <w:right w:val="nil"/>
            </w:tcBorders>
            <w:noWrap/>
            <w:vAlign w:val="bottom"/>
            <w:hideMark/>
          </w:tcPr>
          <w:p w:rsidR="00574A05" w:rsidRPr="00574A05" w:rsidP="00574A05" w14:paraId="7A5BFFA3"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2,188 </w:t>
            </w:r>
          </w:p>
        </w:tc>
        <w:tc>
          <w:tcPr>
            <w:tcW w:w="1069" w:type="dxa"/>
            <w:tcBorders>
              <w:top w:val="nil"/>
              <w:left w:val="nil"/>
              <w:bottom w:val="nil"/>
              <w:right w:val="nil"/>
            </w:tcBorders>
            <w:noWrap/>
            <w:vAlign w:val="bottom"/>
            <w:hideMark/>
          </w:tcPr>
          <w:p w:rsidR="00574A05" w:rsidRPr="00574A05" w:rsidP="00574A05" w14:paraId="366B0DF2"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1,905 </w:t>
            </w:r>
          </w:p>
        </w:tc>
        <w:tc>
          <w:tcPr>
            <w:tcW w:w="1069" w:type="dxa"/>
            <w:tcBorders>
              <w:top w:val="nil"/>
              <w:left w:val="nil"/>
              <w:bottom w:val="nil"/>
              <w:right w:val="nil"/>
            </w:tcBorders>
            <w:shd w:val="clear" w:color="000000" w:fill="D9D9D9"/>
            <w:noWrap/>
            <w:vAlign w:val="bottom"/>
            <w:hideMark/>
          </w:tcPr>
          <w:p w:rsidR="00574A05" w:rsidRPr="00574A05" w:rsidP="00574A05" w14:paraId="4402CEF6"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1,884 </w:t>
            </w:r>
          </w:p>
        </w:tc>
        <w:tc>
          <w:tcPr>
            <w:tcW w:w="1069" w:type="dxa"/>
            <w:tcBorders>
              <w:top w:val="nil"/>
              <w:left w:val="nil"/>
              <w:bottom w:val="nil"/>
              <w:right w:val="nil"/>
            </w:tcBorders>
            <w:shd w:val="clear" w:color="000000" w:fill="D9D9D9"/>
            <w:noWrap/>
            <w:vAlign w:val="bottom"/>
            <w:hideMark/>
          </w:tcPr>
          <w:p w:rsidR="00574A05" w:rsidRPr="00574A05" w:rsidP="00574A05" w14:paraId="3ACA893C"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1,791 </w:t>
            </w:r>
          </w:p>
        </w:tc>
        <w:tc>
          <w:tcPr>
            <w:tcW w:w="988" w:type="dxa"/>
            <w:tcBorders>
              <w:top w:val="nil"/>
              <w:left w:val="nil"/>
              <w:bottom w:val="nil"/>
              <w:right w:val="nil"/>
            </w:tcBorders>
            <w:noWrap/>
            <w:vAlign w:val="bottom"/>
            <w:hideMark/>
          </w:tcPr>
          <w:p w:rsidR="00574A05" w:rsidRPr="00574A05" w:rsidP="00574A05" w14:paraId="06FFA2C9" w14:textId="77777777">
            <w:pPr>
              <w:spacing w:after="0" w:line="240" w:lineRule="auto"/>
              <w:rPr>
                <w:rFonts w:ascii="Arial" w:eastAsia="Times New Roman" w:hAnsi="Arial" w:cs="Arial"/>
                <w:i/>
                <w:iCs/>
                <w:color w:val="215C98"/>
                <w:kern w:val="0"/>
                <w:sz w:val="20"/>
                <w:szCs w:val="20"/>
                <w14:ligatures w14:val="none"/>
              </w:rPr>
            </w:pPr>
          </w:p>
        </w:tc>
      </w:tr>
      <w:tr w14:paraId="4468F8DA"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6A55CAE3"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Cooperatives</w:t>
            </w:r>
          </w:p>
        </w:tc>
        <w:tc>
          <w:tcPr>
            <w:tcW w:w="1255" w:type="dxa"/>
            <w:tcBorders>
              <w:top w:val="nil"/>
              <w:left w:val="nil"/>
              <w:bottom w:val="nil"/>
              <w:right w:val="nil"/>
            </w:tcBorders>
            <w:noWrap/>
            <w:vAlign w:val="bottom"/>
            <w:hideMark/>
          </w:tcPr>
          <w:p w:rsidR="00574A05" w:rsidRPr="00574A05" w:rsidP="00574A05" w14:paraId="78555368"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8,017 </w:t>
            </w:r>
          </w:p>
        </w:tc>
        <w:tc>
          <w:tcPr>
            <w:tcW w:w="1174" w:type="dxa"/>
            <w:tcBorders>
              <w:top w:val="nil"/>
              <w:left w:val="nil"/>
              <w:bottom w:val="nil"/>
              <w:right w:val="nil"/>
            </w:tcBorders>
            <w:noWrap/>
            <w:vAlign w:val="bottom"/>
            <w:hideMark/>
          </w:tcPr>
          <w:p w:rsidR="00574A05" w:rsidRPr="00574A05" w:rsidP="00574A05" w14:paraId="7C6DC107"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8,163 </w:t>
            </w:r>
          </w:p>
        </w:tc>
        <w:tc>
          <w:tcPr>
            <w:tcW w:w="1182" w:type="dxa"/>
            <w:tcBorders>
              <w:top w:val="nil"/>
              <w:left w:val="nil"/>
              <w:bottom w:val="nil"/>
              <w:right w:val="nil"/>
            </w:tcBorders>
            <w:noWrap/>
            <w:vAlign w:val="bottom"/>
            <w:hideMark/>
          </w:tcPr>
          <w:p w:rsidR="00574A05" w:rsidRPr="00574A05" w:rsidP="00574A05" w14:paraId="19931A5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7,735 </w:t>
            </w:r>
          </w:p>
        </w:tc>
        <w:tc>
          <w:tcPr>
            <w:tcW w:w="1174" w:type="dxa"/>
            <w:tcBorders>
              <w:top w:val="nil"/>
              <w:left w:val="nil"/>
              <w:bottom w:val="nil"/>
              <w:right w:val="nil"/>
            </w:tcBorders>
            <w:noWrap/>
            <w:vAlign w:val="bottom"/>
            <w:hideMark/>
          </w:tcPr>
          <w:p w:rsidR="00574A05" w:rsidRPr="00574A05" w:rsidP="00574A05" w14:paraId="3B6530C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7,879 </w:t>
            </w:r>
          </w:p>
        </w:tc>
        <w:tc>
          <w:tcPr>
            <w:tcW w:w="1174" w:type="dxa"/>
            <w:tcBorders>
              <w:top w:val="nil"/>
              <w:left w:val="nil"/>
              <w:bottom w:val="nil"/>
              <w:right w:val="nil"/>
            </w:tcBorders>
            <w:noWrap/>
            <w:vAlign w:val="bottom"/>
            <w:hideMark/>
          </w:tcPr>
          <w:p w:rsidR="00574A05" w:rsidRPr="00574A05" w:rsidP="00574A05" w14:paraId="340D013C"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7,571 </w:t>
            </w:r>
          </w:p>
        </w:tc>
        <w:tc>
          <w:tcPr>
            <w:tcW w:w="1069" w:type="dxa"/>
            <w:tcBorders>
              <w:top w:val="nil"/>
              <w:left w:val="nil"/>
              <w:bottom w:val="nil"/>
              <w:right w:val="nil"/>
            </w:tcBorders>
            <w:noWrap/>
            <w:vAlign w:val="bottom"/>
            <w:hideMark/>
          </w:tcPr>
          <w:p w:rsidR="00574A05" w:rsidRPr="00574A05" w:rsidP="00574A05" w14:paraId="71F52473"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7,641 </w:t>
            </w:r>
          </w:p>
        </w:tc>
        <w:tc>
          <w:tcPr>
            <w:tcW w:w="1069" w:type="dxa"/>
            <w:tcBorders>
              <w:top w:val="nil"/>
              <w:left w:val="nil"/>
              <w:bottom w:val="nil"/>
              <w:right w:val="nil"/>
            </w:tcBorders>
            <w:shd w:val="clear" w:color="000000" w:fill="D9D9D9"/>
            <w:noWrap/>
            <w:vAlign w:val="bottom"/>
            <w:hideMark/>
          </w:tcPr>
          <w:p w:rsidR="00574A05" w:rsidRPr="00574A05" w:rsidP="00574A05" w14:paraId="64843ED2"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7,483 </w:t>
            </w:r>
          </w:p>
        </w:tc>
        <w:tc>
          <w:tcPr>
            <w:tcW w:w="1069" w:type="dxa"/>
            <w:tcBorders>
              <w:top w:val="nil"/>
              <w:left w:val="nil"/>
              <w:bottom w:val="nil"/>
              <w:right w:val="nil"/>
            </w:tcBorders>
            <w:shd w:val="clear" w:color="000000" w:fill="D9D9D9"/>
            <w:noWrap/>
            <w:vAlign w:val="bottom"/>
            <w:hideMark/>
          </w:tcPr>
          <w:p w:rsidR="00574A05" w:rsidRPr="00574A05" w:rsidP="00574A05" w14:paraId="406ADF9F"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7,383 </w:t>
            </w:r>
          </w:p>
        </w:tc>
        <w:tc>
          <w:tcPr>
            <w:tcW w:w="988" w:type="dxa"/>
            <w:tcBorders>
              <w:top w:val="nil"/>
              <w:left w:val="nil"/>
              <w:bottom w:val="nil"/>
              <w:right w:val="nil"/>
            </w:tcBorders>
            <w:noWrap/>
            <w:vAlign w:val="bottom"/>
            <w:hideMark/>
          </w:tcPr>
          <w:p w:rsidR="00574A05" w:rsidRPr="00574A05" w:rsidP="00574A05" w14:paraId="5F11AEBA" w14:textId="77777777">
            <w:pPr>
              <w:spacing w:after="0" w:line="240" w:lineRule="auto"/>
              <w:rPr>
                <w:rFonts w:ascii="Arial" w:eastAsia="Times New Roman" w:hAnsi="Arial" w:cs="Arial"/>
                <w:i/>
                <w:iCs/>
                <w:color w:val="215C98"/>
                <w:kern w:val="0"/>
                <w:sz w:val="20"/>
                <w:szCs w:val="20"/>
                <w14:ligatures w14:val="none"/>
              </w:rPr>
            </w:pPr>
          </w:p>
        </w:tc>
      </w:tr>
      <w:tr w14:paraId="466F0E29"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0A1F9086"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Producer-dealers</w:t>
            </w:r>
          </w:p>
        </w:tc>
        <w:tc>
          <w:tcPr>
            <w:tcW w:w="1255" w:type="dxa"/>
            <w:tcBorders>
              <w:top w:val="nil"/>
              <w:left w:val="nil"/>
              <w:bottom w:val="nil"/>
              <w:right w:val="nil"/>
            </w:tcBorders>
            <w:noWrap/>
            <w:vAlign w:val="bottom"/>
            <w:hideMark/>
          </w:tcPr>
          <w:p w:rsidR="00574A05" w:rsidRPr="00574A05" w:rsidP="00574A05" w14:paraId="77F82989"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65 </w:t>
            </w:r>
          </w:p>
        </w:tc>
        <w:tc>
          <w:tcPr>
            <w:tcW w:w="1174" w:type="dxa"/>
            <w:tcBorders>
              <w:top w:val="nil"/>
              <w:left w:val="nil"/>
              <w:bottom w:val="nil"/>
              <w:right w:val="nil"/>
            </w:tcBorders>
            <w:noWrap/>
            <w:vAlign w:val="bottom"/>
            <w:hideMark/>
          </w:tcPr>
          <w:p w:rsidR="00574A05" w:rsidRPr="00574A05" w:rsidP="00574A05" w14:paraId="065E6A3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63 </w:t>
            </w:r>
          </w:p>
        </w:tc>
        <w:tc>
          <w:tcPr>
            <w:tcW w:w="1182" w:type="dxa"/>
            <w:tcBorders>
              <w:top w:val="nil"/>
              <w:left w:val="nil"/>
              <w:bottom w:val="nil"/>
              <w:right w:val="nil"/>
            </w:tcBorders>
            <w:noWrap/>
            <w:vAlign w:val="bottom"/>
            <w:hideMark/>
          </w:tcPr>
          <w:p w:rsidR="00574A05" w:rsidRPr="00574A05" w:rsidP="00574A05" w14:paraId="6F1D031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64 </w:t>
            </w:r>
          </w:p>
        </w:tc>
        <w:tc>
          <w:tcPr>
            <w:tcW w:w="1174" w:type="dxa"/>
            <w:tcBorders>
              <w:top w:val="nil"/>
              <w:left w:val="nil"/>
              <w:bottom w:val="nil"/>
              <w:right w:val="nil"/>
            </w:tcBorders>
            <w:noWrap/>
            <w:vAlign w:val="bottom"/>
            <w:hideMark/>
          </w:tcPr>
          <w:p w:rsidR="00574A05" w:rsidRPr="00574A05" w:rsidP="00574A05" w14:paraId="470B632A"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76 </w:t>
            </w:r>
          </w:p>
        </w:tc>
        <w:tc>
          <w:tcPr>
            <w:tcW w:w="1174" w:type="dxa"/>
            <w:tcBorders>
              <w:top w:val="nil"/>
              <w:left w:val="nil"/>
              <w:bottom w:val="nil"/>
              <w:right w:val="nil"/>
            </w:tcBorders>
            <w:noWrap/>
            <w:vAlign w:val="bottom"/>
            <w:hideMark/>
          </w:tcPr>
          <w:p w:rsidR="00574A05" w:rsidRPr="00574A05" w:rsidP="00574A05" w14:paraId="1AE820E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76 </w:t>
            </w:r>
          </w:p>
        </w:tc>
        <w:tc>
          <w:tcPr>
            <w:tcW w:w="1069" w:type="dxa"/>
            <w:tcBorders>
              <w:top w:val="nil"/>
              <w:left w:val="nil"/>
              <w:bottom w:val="nil"/>
              <w:right w:val="nil"/>
            </w:tcBorders>
            <w:noWrap/>
            <w:vAlign w:val="bottom"/>
            <w:hideMark/>
          </w:tcPr>
          <w:p w:rsidR="00574A05" w:rsidRPr="00574A05" w:rsidP="00574A05" w14:paraId="5642B47A"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74 </w:t>
            </w:r>
          </w:p>
        </w:tc>
        <w:tc>
          <w:tcPr>
            <w:tcW w:w="1069" w:type="dxa"/>
            <w:tcBorders>
              <w:top w:val="nil"/>
              <w:left w:val="nil"/>
              <w:bottom w:val="nil"/>
              <w:right w:val="nil"/>
            </w:tcBorders>
            <w:shd w:val="clear" w:color="000000" w:fill="D9D9D9"/>
            <w:noWrap/>
            <w:vAlign w:val="bottom"/>
            <w:hideMark/>
          </w:tcPr>
          <w:p w:rsidR="00574A05" w:rsidRPr="00574A05" w:rsidP="00574A05" w14:paraId="58128A81"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74 </w:t>
            </w:r>
          </w:p>
        </w:tc>
        <w:tc>
          <w:tcPr>
            <w:tcW w:w="1069" w:type="dxa"/>
            <w:tcBorders>
              <w:top w:val="nil"/>
              <w:left w:val="nil"/>
              <w:bottom w:val="nil"/>
              <w:right w:val="nil"/>
            </w:tcBorders>
            <w:shd w:val="clear" w:color="000000" w:fill="D9D9D9"/>
            <w:noWrap/>
            <w:vAlign w:val="bottom"/>
            <w:hideMark/>
          </w:tcPr>
          <w:p w:rsidR="00574A05" w:rsidRPr="00574A05" w:rsidP="00574A05" w14:paraId="5A585D10"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73 </w:t>
            </w:r>
          </w:p>
        </w:tc>
        <w:tc>
          <w:tcPr>
            <w:tcW w:w="988" w:type="dxa"/>
            <w:tcBorders>
              <w:top w:val="nil"/>
              <w:left w:val="nil"/>
              <w:bottom w:val="nil"/>
              <w:right w:val="nil"/>
            </w:tcBorders>
            <w:noWrap/>
            <w:vAlign w:val="bottom"/>
            <w:hideMark/>
          </w:tcPr>
          <w:p w:rsidR="00574A05" w:rsidRPr="00574A05" w:rsidP="00574A05" w14:paraId="0AF725BA" w14:textId="77777777">
            <w:pPr>
              <w:spacing w:after="0" w:line="240" w:lineRule="auto"/>
              <w:rPr>
                <w:rFonts w:ascii="Arial" w:eastAsia="Times New Roman" w:hAnsi="Arial" w:cs="Arial"/>
                <w:i/>
                <w:iCs/>
                <w:color w:val="215C98"/>
                <w:kern w:val="0"/>
                <w:sz w:val="20"/>
                <w:szCs w:val="20"/>
                <w14:ligatures w14:val="none"/>
              </w:rPr>
            </w:pPr>
          </w:p>
        </w:tc>
      </w:tr>
      <w:tr w14:paraId="45528ABA"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2D7F2093"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Other</w:t>
            </w:r>
          </w:p>
        </w:tc>
        <w:tc>
          <w:tcPr>
            <w:tcW w:w="1255" w:type="dxa"/>
            <w:tcBorders>
              <w:top w:val="nil"/>
              <w:left w:val="nil"/>
              <w:bottom w:val="nil"/>
              <w:right w:val="nil"/>
            </w:tcBorders>
            <w:noWrap/>
            <w:vAlign w:val="bottom"/>
            <w:hideMark/>
          </w:tcPr>
          <w:p w:rsidR="00574A05" w:rsidRPr="00574A05" w:rsidP="00574A05" w14:paraId="01116D8A"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251 </w:t>
            </w:r>
          </w:p>
        </w:tc>
        <w:tc>
          <w:tcPr>
            <w:tcW w:w="1174" w:type="dxa"/>
            <w:tcBorders>
              <w:top w:val="nil"/>
              <w:left w:val="nil"/>
              <w:bottom w:val="nil"/>
              <w:right w:val="nil"/>
            </w:tcBorders>
            <w:noWrap/>
            <w:vAlign w:val="bottom"/>
            <w:hideMark/>
          </w:tcPr>
          <w:p w:rsidR="00574A05" w:rsidRPr="00574A05" w:rsidP="00574A05" w14:paraId="14A3FB3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217 </w:t>
            </w:r>
          </w:p>
        </w:tc>
        <w:tc>
          <w:tcPr>
            <w:tcW w:w="1182" w:type="dxa"/>
            <w:tcBorders>
              <w:top w:val="nil"/>
              <w:left w:val="nil"/>
              <w:bottom w:val="nil"/>
              <w:right w:val="nil"/>
            </w:tcBorders>
            <w:noWrap/>
            <w:vAlign w:val="bottom"/>
            <w:hideMark/>
          </w:tcPr>
          <w:p w:rsidR="00574A05" w:rsidRPr="00574A05" w:rsidP="00574A05" w14:paraId="71E9034F"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142 </w:t>
            </w:r>
          </w:p>
        </w:tc>
        <w:tc>
          <w:tcPr>
            <w:tcW w:w="1174" w:type="dxa"/>
            <w:tcBorders>
              <w:top w:val="nil"/>
              <w:left w:val="nil"/>
              <w:bottom w:val="nil"/>
              <w:right w:val="nil"/>
            </w:tcBorders>
            <w:noWrap/>
            <w:vAlign w:val="bottom"/>
            <w:hideMark/>
          </w:tcPr>
          <w:p w:rsidR="00574A05" w:rsidRPr="00574A05" w:rsidP="00574A05" w14:paraId="1330D7F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86 </w:t>
            </w:r>
          </w:p>
        </w:tc>
        <w:tc>
          <w:tcPr>
            <w:tcW w:w="1174" w:type="dxa"/>
            <w:tcBorders>
              <w:top w:val="nil"/>
              <w:left w:val="nil"/>
              <w:bottom w:val="nil"/>
              <w:right w:val="nil"/>
            </w:tcBorders>
            <w:noWrap/>
            <w:vAlign w:val="bottom"/>
            <w:hideMark/>
          </w:tcPr>
          <w:p w:rsidR="00574A05" w:rsidRPr="00574A05" w:rsidP="00574A05" w14:paraId="53DABE87"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280 </w:t>
            </w:r>
          </w:p>
        </w:tc>
        <w:tc>
          <w:tcPr>
            <w:tcW w:w="1069" w:type="dxa"/>
            <w:tcBorders>
              <w:top w:val="nil"/>
              <w:left w:val="nil"/>
              <w:bottom w:val="nil"/>
              <w:right w:val="nil"/>
            </w:tcBorders>
            <w:noWrap/>
            <w:vAlign w:val="bottom"/>
            <w:hideMark/>
          </w:tcPr>
          <w:p w:rsidR="00574A05" w:rsidRPr="00574A05" w:rsidP="00574A05" w14:paraId="09CC3509"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328 </w:t>
            </w:r>
          </w:p>
        </w:tc>
        <w:tc>
          <w:tcPr>
            <w:tcW w:w="1069" w:type="dxa"/>
            <w:tcBorders>
              <w:top w:val="nil"/>
              <w:left w:val="nil"/>
              <w:bottom w:val="nil"/>
              <w:right w:val="nil"/>
            </w:tcBorders>
            <w:shd w:val="clear" w:color="000000" w:fill="D9D9D9"/>
            <w:noWrap/>
            <w:vAlign w:val="bottom"/>
            <w:hideMark/>
          </w:tcPr>
          <w:p w:rsidR="00574A05" w:rsidRPr="00574A05" w:rsidP="00574A05" w14:paraId="7A1B54A3"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269 </w:t>
            </w:r>
          </w:p>
        </w:tc>
        <w:tc>
          <w:tcPr>
            <w:tcW w:w="1069" w:type="dxa"/>
            <w:tcBorders>
              <w:top w:val="nil"/>
              <w:left w:val="nil"/>
              <w:bottom w:val="nil"/>
              <w:right w:val="nil"/>
            </w:tcBorders>
            <w:shd w:val="clear" w:color="000000" w:fill="D9D9D9"/>
            <w:noWrap/>
            <w:vAlign w:val="bottom"/>
            <w:hideMark/>
          </w:tcPr>
          <w:p w:rsidR="00574A05" w:rsidRPr="00574A05" w:rsidP="00574A05" w14:paraId="058ADE2A"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284 </w:t>
            </w:r>
          </w:p>
        </w:tc>
        <w:tc>
          <w:tcPr>
            <w:tcW w:w="988" w:type="dxa"/>
            <w:tcBorders>
              <w:top w:val="nil"/>
              <w:left w:val="nil"/>
              <w:bottom w:val="nil"/>
              <w:right w:val="nil"/>
            </w:tcBorders>
            <w:noWrap/>
            <w:vAlign w:val="bottom"/>
            <w:hideMark/>
          </w:tcPr>
          <w:p w:rsidR="00574A05" w:rsidRPr="00574A05" w:rsidP="00574A05" w14:paraId="3B79A8EE" w14:textId="77777777">
            <w:pPr>
              <w:spacing w:after="0" w:line="240" w:lineRule="auto"/>
              <w:rPr>
                <w:rFonts w:ascii="Arial" w:eastAsia="Times New Roman" w:hAnsi="Arial" w:cs="Arial"/>
                <w:i/>
                <w:iCs/>
                <w:color w:val="215C98"/>
                <w:kern w:val="0"/>
                <w:sz w:val="20"/>
                <w:szCs w:val="20"/>
                <w14:ligatures w14:val="none"/>
              </w:rPr>
            </w:pPr>
          </w:p>
        </w:tc>
      </w:tr>
      <w:tr w14:paraId="196B15D2"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0AA0DA5D"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USDA total for Pennsylvania</w:t>
            </w:r>
          </w:p>
        </w:tc>
        <w:tc>
          <w:tcPr>
            <w:tcW w:w="1255" w:type="dxa"/>
            <w:tcBorders>
              <w:top w:val="nil"/>
              <w:left w:val="nil"/>
              <w:bottom w:val="nil"/>
              <w:right w:val="nil"/>
            </w:tcBorders>
            <w:noWrap/>
            <w:vAlign w:val="bottom"/>
            <w:hideMark/>
          </w:tcPr>
          <w:p w:rsidR="00574A05" w:rsidRPr="00574A05" w:rsidP="00574A05" w14:paraId="57E5DEA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10,893 </w:t>
            </w:r>
          </w:p>
        </w:tc>
        <w:tc>
          <w:tcPr>
            <w:tcW w:w="1174" w:type="dxa"/>
            <w:tcBorders>
              <w:top w:val="nil"/>
              <w:left w:val="nil"/>
              <w:bottom w:val="nil"/>
              <w:right w:val="nil"/>
            </w:tcBorders>
            <w:noWrap/>
            <w:vAlign w:val="bottom"/>
            <w:hideMark/>
          </w:tcPr>
          <w:p w:rsidR="00574A05" w:rsidRPr="00574A05" w:rsidP="00574A05" w14:paraId="289A8CD9"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10,656 </w:t>
            </w:r>
          </w:p>
        </w:tc>
        <w:tc>
          <w:tcPr>
            <w:tcW w:w="1182" w:type="dxa"/>
            <w:tcBorders>
              <w:top w:val="nil"/>
              <w:left w:val="nil"/>
              <w:bottom w:val="nil"/>
              <w:right w:val="nil"/>
            </w:tcBorders>
            <w:noWrap/>
            <w:vAlign w:val="bottom"/>
            <w:hideMark/>
          </w:tcPr>
          <w:p w:rsidR="00574A05" w:rsidRPr="00574A05" w:rsidP="00574A05" w14:paraId="4C1A29D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10,107 </w:t>
            </w:r>
          </w:p>
        </w:tc>
        <w:tc>
          <w:tcPr>
            <w:tcW w:w="1174" w:type="dxa"/>
            <w:tcBorders>
              <w:top w:val="nil"/>
              <w:left w:val="nil"/>
              <w:bottom w:val="nil"/>
              <w:right w:val="nil"/>
            </w:tcBorders>
            <w:noWrap/>
            <w:vAlign w:val="bottom"/>
            <w:hideMark/>
          </w:tcPr>
          <w:p w:rsidR="00574A05" w:rsidRPr="00574A05" w:rsidP="00574A05" w14:paraId="22C2E742"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10,280 </w:t>
            </w:r>
          </w:p>
        </w:tc>
        <w:tc>
          <w:tcPr>
            <w:tcW w:w="1174" w:type="dxa"/>
            <w:tcBorders>
              <w:top w:val="nil"/>
              <w:left w:val="nil"/>
              <w:bottom w:val="nil"/>
              <w:right w:val="nil"/>
            </w:tcBorders>
            <w:noWrap/>
            <w:vAlign w:val="bottom"/>
            <w:hideMark/>
          </w:tcPr>
          <w:p w:rsidR="00574A05" w:rsidRPr="00574A05" w:rsidP="00574A05" w14:paraId="2A2E888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10,115 </w:t>
            </w:r>
          </w:p>
        </w:tc>
        <w:tc>
          <w:tcPr>
            <w:tcW w:w="1069" w:type="dxa"/>
            <w:tcBorders>
              <w:top w:val="nil"/>
              <w:left w:val="nil"/>
              <w:bottom w:val="nil"/>
              <w:right w:val="nil"/>
            </w:tcBorders>
            <w:noWrap/>
            <w:vAlign w:val="bottom"/>
            <w:hideMark/>
          </w:tcPr>
          <w:p w:rsidR="00574A05" w:rsidRPr="00574A05" w:rsidP="00574A05" w14:paraId="5638435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9,948 </w:t>
            </w:r>
          </w:p>
        </w:tc>
        <w:tc>
          <w:tcPr>
            <w:tcW w:w="1069" w:type="dxa"/>
            <w:tcBorders>
              <w:top w:val="nil"/>
              <w:left w:val="nil"/>
              <w:bottom w:val="nil"/>
              <w:right w:val="nil"/>
            </w:tcBorders>
            <w:noWrap/>
            <w:vAlign w:val="bottom"/>
            <w:hideMark/>
          </w:tcPr>
          <w:p w:rsidR="00574A05" w:rsidRPr="00574A05" w:rsidP="00574A05" w14:paraId="477C1F18"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9,859 </w:t>
            </w:r>
          </w:p>
        </w:tc>
        <w:tc>
          <w:tcPr>
            <w:tcW w:w="1069" w:type="dxa"/>
            <w:tcBorders>
              <w:top w:val="nil"/>
              <w:left w:val="nil"/>
              <w:bottom w:val="nil"/>
              <w:right w:val="nil"/>
            </w:tcBorders>
            <w:noWrap/>
            <w:vAlign w:val="bottom"/>
            <w:hideMark/>
          </w:tcPr>
          <w:p w:rsidR="00574A05" w:rsidRPr="00574A05" w:rsidP="00574A05" w14:paraId="7FC1C849" w14:textId="77777777">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9,737</w:t>
            </w:r>
            <w:r w:rsidRPr="00574A05">
              <w:rPr>
                <w:rFonts w:ascii="Aptos Narrow" w:eastAsia="Times New Roman" w:hAnsi="Aptos Narrow" w:cs="Times New Roman"/>
                <w:color w:val="000000"/>
                <w:kern w:val="0"/>
                <w:sz w:val="22"/>
                <w:szCs w:val="22"/>
                <w14:ligatures w14:val="none"/>
              </w:rPr>
              <w:t xml:space="preserve"> </w:t>
            </w:r>
          </w:p>
        </w:tc>
        <w:tc>
          <w:tcPr>
            <w:tcW w:w="988" w:type="dxa"/>
            <w:tcBorders>
              <w:top w:val="nil"/>
              <w:left w:val="nil"/>
              <w:bottom w:val="nil"/>
              <w:right w:val="nil"/>
            </w:tcBorders>
            <w:noWrap/>
            <w:vAlign w:val="bottom"/>
            <w:hideMark/>
          </w:tcPr>
          <w:p w:rsidR="00574A05" w:rsidRPr="00574A05" w:rsidP="00574A05" w14:paraId="482DA04A" w14:textId="77777777">
            <w:pPr>
              <w:spacing w:after="0" w:line="240" w:lineRule="auto"/>
              <w:rPr>
                <w:rFonts w:ascii="Aptos Narrow" w:eastAsia="Times New Roman" w:hAnsi="Aptos Narrow" w:cs="Times New Roman"/>
                <w:color w:val="000000"/>
                <w:kern w:val="0"/>
                <w:sz w:val="22"/>
                <w:szCs w:val="22"/>
                <w14:ligatures w14:val="none"/>
              </w:rPr>
            </w:pPr>
          </w:p>
        </w:tc>
      </w:tr>
      <w:tr w14:paraId="64D758E3"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3C30D216" w14:textId="77777777">
            <w:pPr>
              <w:spacing w:after="0" w:line="240" w:lineRule="auto"/>
              <w:rPr>
                <w:rFonts w:ascii="Times New Roman" w:eastAsia="Times New Roman" w:hAnsi="Times New Roman" w:cs="Times New Roman"/>
                <w:kern w:val="0"/>
                <w:sz w:val="20"/>
                <w:szCs w:val="20"/>
                <w14:ligatures w14:val="none"/>
              </w:rPr>
            </w:pPr>
          </w:p>
        </w:tc>
        <w:tc>
          <w:tcPr>
            <w:tcW w:w="1255" w:type="dxa"/>
            <w:tcBorders>
              <w:top w:val="nil"/>
              <w:left w:val="nil"/>
              <w:bottom w:val="nil"/>
              <w:right w:val="nil"/>
            </w:tcBorders>
            <w:noWrap/>
            <w:vAlign w:val="bottom"/>
            <w:hideMark/>
          </w:tcPr>
          <w:p w:rsidR="00574A05" w:rsidRPr="00574A05" w:rsidP="00574A05" w14:paraId="37F863B2" w14:textId="77777777">
            <w:pPr>
              <w:spacing w:after="0" w:line="240" w:lineRule="auto"/>
              <w:jc w:val="right"/>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4F156500" w14:textId="77777777">
            <w:pPr>
              <w:spacing w:after="0" w:line="240" w:lineRule="auto"/>
              <w:jc w:val="right"/>
              <w:rPr>
                <w:rFonts w:ascii="Times New Roman" w:eastAsia="Times New Roman" w:hAnsi="Times New Roman" w:cs="Times New Roman"/>
                <w:kern w:val="0"/>
                <w:sz w:val="20"/>
                <w:szCs w:val="20"/>
                <w14:ligatures w14:val="none"/>
              </w:rPr>
            </w:pPr>
          </w:p>
        </w:tc>
        <w:tc>
          <w:tcPr>
            <w:tcW w:w="1182" w:type="dxa"/>
            <w:tcBorders>
              <w:top w:val="nil"/>
              <w:left w:val="nil"/>
              <w:bottom w:val="nil"/>
              <w:right w:val="nil"/>
            </w:tcBorders>
            <w:noWrap/>
            <w:vAlign w:val="bottom"/>
            <w:hideMark/>
          </w:tcPr>
          <w:p w:rsidR="00574A05" w:rsidRPr="00574A05" w:rsidP="00574A05" w14:paraId="02D099D4" w14:textId="77777777">
            <w:pPr>
              <w:spacing w:after="0" w:line="240" w:lineRule="auto"/>
              <w:jc w:val="right"/>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17AA11EA" w14:textId="77777777">
            <w:pPr>
              <w:spacing w:after="0" w:line="240" w:lineRule="auto"/>
              <w:jc w:val="right"/>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727E04D1" w14:textId="77777777">
            <w:pPr>
              <w:spacing w:after="0" w:line="240" w:lineRule="auto"/>
              <w:jc w:val="right"/>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678BA95B" w14:textId="77777777">
            <w:pPr>
              <w:spacing w:after="0" w:line="240" w:lineRule="auto"/>
              <w:jc w:val="right"/>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73ECE365" w14:textId="77777777">
            <w:pPr>
              <w:spacing w:after="0" w:line="240" w:lineRule="auto"/>
              <w:jc w:val="right"/>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61DC83A3" w14:textId="77777777">
            <w:pPr>
              <w:spacing w:after="0" w:line="240" w:lineRule="auto"/>
              <w:jc w:val="right"/>
              <w:rPr>
                <w:rFonts w:ascii="Times New Roman" w:eastAsia="Times New Roman" w:hAnsi="Times New Roman" w:cs="Times New Roman"/>
                <w:kern w:val="0"/>
                <w:sz w:val="20"/>
                <w:szCs w:val="20"/>
                <w14:ligatures w14:val="none"/>
              </w:rPr>
            </w:pPr>
          </w:p>
        </w:tc>
        <w:tc>
          <w:tcPr>
            <w:tcW w:w="988" w:type="dxa"/>
            <w:tcBorders>
              <w:top w:val="nil"/>
              <w:left w:val="nil"/>
              <w:bottom w:val="nil"/>
              <w:right w:val="nil"/>
            </w:tcBorders>
            <w:noWrap/>
            <w:vAlign w:val="bottom"/>
            <w:hideMark/>
          </w:tcPr>
          <w:p w:rsidR="00574A05" w:rsidRPr="00574A05" w:rsidP="00574A05" w14:paraId="63B2FE6C" w14:textId="77777777">
            <w:pPr>
              <w:spacing w:after="0" w:line="240" w:lineRule="auto"/>
              <w:rPr>
                <w:rFonts w:ascii="Times New Roman" w:eastAsia="Times New Roman" w:hAnsi="Times New Roman" w:cs="Times New Roman"/>
                <w:kern w:val="0"/>
                <w:sz w:val="20"/>
                <w:szCs w:val="20"/>
                <w14:ligatures w14:val="none"/>
              </w:rPr>
            </w:pPr>
          </w:p>
        </w:tc>
      </w:tr>
      <w:tr w14:paraId="2B1DD6A9"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3479ECA2"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Estimated PA fluid milk sales</w:t>
            </w:r>
          </w:p>
        </w:tc>
        <w:tc>
          <w:tcPr>
            <w:tcW w:w="1255" w:type="dxa"/>
            <w:tcBorders>
              <w:top w:val="nil"/>
              <w:left w:val="nil"/>
              <w:bottom w:val="nil"/>
              <w:right w:val="nil"/>
            </w:tcBorders>
            <w:noWrap/>
            <w:vAlign w:val="bottom"/>
            <w:hideMark/>
          </w:tcPr>
          <w:p w:rsidR="00574A05" w:rsidRPr="00574A05" w:rsidP="00574A05" w14:paraId="4477D978"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1,881 </w:t>
            </w:r>
          </w:p>
        </w:tc>
        <w:tc>
          <w:tcPr>
            <w:tcW w:w="1174" w:type="dxa"/>
            <w:tcBorders>
              <w:top w:val="nil"/>
              <w:left w:val="nil"/>
              <w:bottom w:val="nil"/>
              <w:right w:val="nil"/>
            </w:tcBorders>
            <w:noWrap/>
            <w:vAlign w:val="bottom"/>
            <w:hideMark/>
          </w:tcPr>
          <w:p w:rsidR="00574A05" w:rsidRPr="00574A05" w:rsidP="00574A05" w14:paraId="44DEA989"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1,815 </w:t>
            </w:r>
          </w:p>
        </w:tc>
        <w:tc>
          <w:tcPr>
            <w:tcW w:w="1182" w:type="dxa"/>
            <w:tcBorders>
              <w:top w:val="nil"/>
              <w:left w:val="nil"/>
              <w:bottom w:val="nil"/>
              <w:right w:val="nil"/>
            </w:tcBorders>
            <w:noWrap/>
            <w:vAlign w:val="bottom"/>
            <w:hideMark/>
          </w:tcPr>
          <w:p w:rsidR="00574A05" w:rsidRPr="00574A05" w:rsidP="00574A05" w14:paraId="2D1AB78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1,788 </w:t>
            </w:r>
          </w:p>
        </w:tc>
        <w:tc>
          <w:tcPr>
            <w:tcW w:w="1174" w:type="dxa"/>
            <w:tcBorders>
              <w:top w:val="nil"/>
              <w:left w:val="nil"/>
              <w:bottom w:val="nil"/>
              <w:right w:val="nil"/>
            </w:tcBorders>
            <w:noWrap/>
            <w:vAlign w:val="bottom"/>
            <w:hideMark/>
          </w:tcPr>
          <w:p w:rsidR="00574A05" w:rsidRPr="00574A05" w:rsidP="00574A05" w14:paraId="75005A5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1,808 </w:t>
            </w:r>
          </w:p>
        </w:tc>
        <w:tc>
          <w:tcPr>
            <w:tcW w:w="1174" w:type="dxa"/>
            <w:tcBorders>
              <w:top w:val="nil"/>
              <w:left w:val="nil"/>
              <w:bottom w:val="nil"/>
              <w:right w:val="nil"/>
            </w:tcBorders>
            <w:noWrap/>
            <w:vAlign w:val="bottom"/>
            <w:hideMark/>
          </w:tcPr>
          <w:p w:rsidR="00574A05" w:rsidRPr="00574A05" w:rsidP="00574A05" w14:paraId="2996855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1,736 </w:t>
            </w:r>
          </w:p>
        </w:tc>
        <w:tc>
          <w:tcPr>
            <w:tcW w:w="1069" w:type="dxa"/>
            <w:tcBorders>
              <w:top w:val="nil"/>
              <w:left w:val="nil"/>
              <w:bottom w:val="nil"/>
              <w:right w:val="nil"/>
            </w:tcBorders>
            <w:noWrap/>
            <w:vAlign w:val="bottom"/>
            <w:hideMark/>
          </w:tcPr>
          <w:p w:rsidR="00574A05" w:rsidRPr="00574A05" w:rsidP="00574A05" w14:paraId="0E8603E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1,686 </w:t>
            </w:r>
          </w:p>
        </w:tc>
        <w:tc>
          <w:tcPr>
            <w:tcW w:w="1069" w:type="dxa"/>
            <w:tcBorders>
              <w:top w:val="nil"/>
              <w:left w:val="nil"/>
              <w:bottom w:val="nil"/>
              <w:right w:val="nil"/>
            </w:tcBorders>
            <w:shd w:val="clear" w:color="000000" w:fill="D9D9D9"/>
            <w:noWrap/>
            <w:vAlign w:val="bottom"/>
            <w:hideMark/>
          </w:tcPr>
          <w:p w:rsidR="00574A05" w:rsidRPr="00574A05" w:rsidP="00574A05" w14:paraId="46501EE4"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1,666 </w:t>
            </w:r>
          </w:p>
        </w:tc>
        <w:tc>
          <w:tcPr>
            <w:tcW w:w="1069" w:type="dxa"/>
            <w:tcBorders>
              <w:top w:val="nil"/>
              <w:left w:val="nil"/>
              <w:bottom w:val="nil"/>
              <w:right w:val="nil"/>
            </w:tcBorders>
            <w:shd w:val="clear" w:color="000000" w:fill="D9D9D9"/>
            <w:noWrap/>
            <w:vAlign w:val="bottom"/>
            <w:hideMark/>
          </w:tcPr>
          <w:p w:rsidR="00574A05" w:rsidRPr="00574A05" w:rsidP="00574A05" w14:paraId="0ABDDB3C"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1,632 </w:t>
            </w:r>
          </w:p>
        </w:tc>
        <w:tc>
          <w:tcPr>
            <w:tcW w:w="988" w:type="dxa"/>
            <w:tcBorders>
              <w:top w:val="nil"/>
              <w:left w:val="nil"/>
              <w:bottom w:val="nil"/>
              <w:right w:val="nil"/>
            </w:tcBorders>
            <w:noWrap/>
            <w:vAlign w:val="bottom"/>
            <w:hideMark/>
          </w:tcPr>
          <w:p w:rsidR="00574A05" w:rsidRPr="00574A05" w:rsidP="00574A05" w14:paraId="30904E6F" w14:textId="77777777">
            <w:pPr>
              <w:spacing w:after="0" w:line="240" w:lineRule="auto"/>
              <w:rPr>
                <w:rFonts w:ascii="Arial" w:eastAsia="Times New Roman" w:hAnsi="Arial" w:cs="Arial"/>
                <w:i/>
                <w:iCs/>
                <w:color w:val="215C98"/>
                <w:kern w:val="0"/>
                <w:sz w:val="20"/>
                <w:szCs w:val="20"/>
                <w14:ligatures w14:val="none"/>
              </w:rPr>
            </w:pPr>
          </w:p>
        </w:tc>
      </w:tr>
      <w:tr w14:paraId="3077809D"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32C0DF2C"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PA regulated Class I &amp; II sales</w:t>
            </w:r>
          </w:p>
        </w:tc>
        <w:tc>
          <w:tcPr>
            <w:tcW w:w="1255" w:type="dxa"/>
            <w:tcBorders>
              <w:top w:val="nil"/>
              <w:left w:val="nil"/>
              <w:bottom w:val="nil"/>
              <w:right w:val="nil"/>
            </w:tcBorders>
            <w:noWrap/>
            <w:vAlign w:val="bottom"/>
            <w:hideMark/>
          </w:tcPr>
          <w:p w:rsidR="00574A05" w:rsidRPr="00574A05" w:rsidP="00574A05" w14:paraId="2C3E634B"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1,853 </w:t>
            </w:r>
          </w:p>
        </w:tc>
        <w:tc>
          <w:tcPr>
            <w:tcW w:w="1174" w:type="dxa"/>
            <w:tcBorders>
              <w:top w:val="nil"/>
              <w:left w:val="nil"/>
              <w:bottom w:val="nil"/>
              <w:right w:val="nil"/>
            </w:tcBorders>
            <w:noWrap/>
            <w:vAlign w:val="bottom"/>
            <w:hideMark/>
          </w:tcPr>
          <w:p w:rsidR="00574A05" w:rsidRPr="00574A05" w:rsidP="00574A05" w14:paraId="7073F29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1,737 </w:t>
            </w:r>
          </w:p>
        </w:tc>
        <w:tc>
          <w:tcPr>
            <w:tcW w:w="1182" w:type="dxa"/>
            <w:tcBorders>
              <w:top w:val="nil"/>
              <w:left w:val="nil"/>
              <w:bottom w:val="nil"/>
              <w:right w:val="nil"/>
            </w:tcBorders>
            <w:noWrap/>
            <w:vAlign w:val="bottom"/>
            <w:hideMark/>
          </w:tcPr>
          <w:p w:rsidR="00574A05" w:rsidRPr="00574A05" w:rsidP="00574A05" w14:paraId="2B2E4321"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1,668 </w:t>
            </w:r>
          </w:p>
        </w:tc>
        <w:tc>
          <w:tcPr>
            <w:tcW w:w="1174" w:type="dxa"/>
            <w:tcBorders>
              <w:top w:val="nil"/>
              <w:left w:val="nil"/>
              <w:bottom w:val="nil"/>
              <w:right w:val="nil"/>
            </w:tcBorders>
            <w:noWrap/>
            <w:vAlign w:val="bottom"/>
            <w:hideMark/>
          </w:tcPr>
          <w:p w:rsidR="00574A05" w:rsidRPr="00574A05" w:rsidP="00574A05" w14:paraId="28D20C5A"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1,714 </w:t>
            </w:r>
          </w:p>
        </w:tc>
        <w:tc>
          <w:tcPr>
            <w:tcW w:w="1174" w:type="dxa"/>
            <w:tcBorders>
              <w:top w:val="nil"/>
              <w:left w:val="nil"/>
              <w:bottom w:val="nil"/>
              <w:right w:val="nil"/>
            </w:tcBorders>
            <w:noWrap/>
            <w:vAlign w:val="bottom"/>
            <w:hideMark/>
          </w:tcPr>
          <w:p w:rsidR="00574A05" w:rsidRPr="00574A05" w:rsidP="00574A05" w14:paraId="1D30977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1,719 </w:t>
            </w:r>
          </w:p>
        </w:tc>
        <w:tc>
          <w:tcPr>
            <w:tcW w:w="1069" w:type="dxa"/>
            <w:tcBorders>
              <w:top w:val="nil"/>
              <w:left w:val="nil"/>
              <w:bottom w:val="nil"/>
              <w:right w:val="nil"/>
            </w:tcBorders>
            <w:noWrap/>
            <w:vAlign w:val="bottom"/>
            <w:hideMark/>
          </w:tcPr>
          <w:p w:rsidR="00574A05" w:rsidRPr="00574A05" w:rsidP="00574A05" w14:paraId="6C30522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1,772 </w:t>
            </w:r>
          </w:p>
        </w:tc>
        <w:tc>
          <w:tcPr>
            <w:tcW w:w="1069" w:type="dxa"/>
            <w:tcBorders>
              <w:top w:val="nil"/>
              <w:left w:val="nil"/>
              <w:bottom w:val="nil"/>
              <w:right w:val="nil"/>
            </w:tcBorders>
            <w:shd w:val="clear" w:color="000000" w:fill="D9D9D9"/>
            <w:noWrap/>
            <w:vAlign w:val="bottom"/>
            <w:hideMark/>
          </w:tcPr>
          <w:p w:rsidR="00574A05" w:rsidRPr="00574A05" w:rsidP="00574A05" w14:paraId="14CB8CEA"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1,703 </w:t>
            </w:r>
          </w:p>
        </w:tc>
        <w:tc>
          <w:tcPr>
            <w:tcW w:w="1069" w:type="dxa"/>
            <w:tcBorders>
              <w:top w:val="nil"/>
              <w:left w:val="nil"/>
              <w:bottom w:val="nil"/>
              <w:right w:val="nil"/>
            </w:tcBorders>
            <w:shd w:val="clear" w:color="000000" w:fill="D9D9D9"/>
            <w:noWrap/>
            <w:vAlign w:val="bottom"/>
            <w:hideMark/>
          </w:tcPr>
          <w:p w:rsidR="00574A05" w:rsidRPr="00574A05" w:rsidP="00574A05" w14:paraId="5FE9A713"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1,691 </w:t>
            </w:r>
          </w:p>
        </w:tc>
        <w:tc>
          <w:tcPr>
            <w:tcW w:w="988" w:type="dxa"/>
            <w:tcBorders>
              <w:top w:val="nil"/>
              <w:left w:val="nil"/>
              <w:bottom w:val="nil"/>
              <w:right w:val="nil"/>
            </w:tcBorders>
            <w:noWrap/>
            <w:vAlign w:val="bottom"/>
            <w:hideMark/>
          </w:tcPr>
          <w:p w:rsidR="00574A05" w:rsidRPr="00574A05" w:rsidP="00574A05" w14:paraId="21BB7B57" w14:textId="77777777">
            <w:pPr>
              <w:spacing w:after="0" w:line="240" w:lineRule="auto"/>
              <w:rPr>
                <w:rFonts w:ascii="Arial" w:eastAsia="Times New Roman" w:hAnsi="Arial" w:cs="Arial"/>
                <w:i/>
                <w:iCs/>
                <w:color w:val="215C98"/>
                <w:kern w:val="0"/>
                <w:sz w:val="20"/>
                <w:szCs w:val="20"/>
                <w14:ligatures w14:val="none"/>
              </w:rPr>
            </w:pPr>
          </w:p>
        </w:tc>
      </w:tr>
      <w:tr w14:paraId="45AAF40C"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738DCFDD"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less PA tolling sales</w:t>
            </w:r>
          </w:p>
        </w:tc>
        <w:tc>
          <w:tcPr>
            <w:tcW w:w="1255" w:type="dxa"/>
            <w:tcBorders>
              <w:top w:val="nil"/>
              <w:left w:val="nil"/>
              <w:bottom w:val="nil"/>
              <w:right w:val="nil"/>
            </w:tcBorders>
            <w:noWrap/>
            <w:vAlign w:val="bottom"/>
            <w:hideMark/>
          </w:tcPr>
          <w:p w:rsidR="00574A05" w:rsidRPr="00574A05" w:rsidP="00574A05" w14:paraId="226C4068"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417 </w:t>
            </w:r>
          </w:p>
        </w:tc>
        <w:tc>
          <w:tcPr>
            <w:tcW w:w="1174" w:type="dxa"/>
            <w:tcBorders>
              <w:top w:val="nil"/>
              <w:left w:val="nil"/>
              <w:bottom w:val="nil"/>
              <w:right w:val="nil"/>
            </w:tcBorders>
            <w:noWrap/>
            <w:vAlign w:val="bottom"/>
            <w:hideMark/>
          </w:tcPr>
          <w:p w:rsidR="00574A05" w:rsidRPr="00574A05" w:rsidP="00574A05" w14:paraId="2DEF97A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391 </w:t>
            </w:r>
          </w:p>
        </w:tc>
        <w:tc>
          <w:tcPr>
            <w:tcW w:w="1182" w:type="dxa"/>
            <w:tcBorders>
              <w:top w:val="nil"/>
              <w:left w:val="nil"/>
              <w:bottom w:val="nil"/>
              <w:right w:val="nil"/>
            </w:tcBorders>
            <w:noWrap/>
            <w:vAlign w:val="bottom"/>
            <w:hideMark/>
          </w:tcPr>
          <w:p w:rsidR="00574A05" w:rsidRPr="00574A05" w:rsidP="00574A05" w14:paraId="5B9961D1"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338 </w:t>
            </w:r>
          </w:p>
        </w:tc>
        <w:tc>
          <w:tcPr>
            <w:tcW w:w="1174" w:type="dxa"/>
            <w:tcBorders>
              <w:top w:val="nil"/>
              <w:left w:val="nil"/>
              <w:bottom w:val="nil"/>
              <w:right w:val="nil"/>
            </w:tcBorders>
            <w:noWrap/>
            <w:vAlign w:val="bottom"/>
            <w:hideMark/>
          </w:tcPr>
          <w:p w:rsidR="00574A05" w:rsidRPr="00574A05" w:rsidP="00574A05" w14:paraId="264A76B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326 </w:t>
            </w:r>
          </w:p>
        </w:tc>
        <w:tc>
          <w:tcPr>
            <w:tcW w:w="1174" w:type="dxa"/>
            <w:tcBorders>
              <w:top w:val="nil"/>
              <w:left w:val="nil"/>
              <w:bottom w:val="nil"/>
              <w:right w:val="nil"/>
            </w:tcBorders>
            <w:noWrap/>
            <w:vAlign w:val="bottom"/>
            <w:hideMark/>
          </w:tcPr>
          <w:p w:rsidR="00574A05" w:rsidRPr="00574A05" w:rsidP="00574A05" w14:paraId="11B8A0D3"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334 </w:t>
            </w:r>
          </w:p>
        </w:tc>
        <w:tc>
          <w:tcPr>
            <w:tcW w:w="1069" w:type="dxa"/>
            <w:tcBorders>
              <w:top w:val="nil"/>
              <w:left w:val="nil"/>
              <w:bottom w:val="nil"/>
              <w:right w:val="nil"/>
            </w:tcBorders>
            <w:noWrap/>
            <w:vAlign w:val="bottom"/>
            <w:hideMark/>
          </w:tcPr>
          <w:p w:rsidR="00574A05" w:rsidRPr="00574A05" w:rsidP="00574A05" w14:paraId="72FE726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356 </w:t>
            </w:r>
          </w:p>
        </w:tc>
        <w:tc>
          <w:tcPr>
            <w:tcW w:w="1069" w:type="dxa"/>
            <w:tcBorders>
              <w:top w:val="nil"/>
              <w:left w:val="nil"/>
              <w:bottom w:val="nil"/>
              <w:right w:val="nil"/>
            </w:tcBorders>
            <w:shd w:val="clear" w:color="000000" w:fill="D9D9D9"/>
            <w:noWrap/>
            <w:vAlign w:val="bottom"/>
            <w:hideMark/>
          </w:tcPr>
          <w:p w:rsidR="00574A05" w:rsidRPr="00574A05" w:rsidP="00574A05" w14:paraId="2678AD25"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312 </w:t>
            </w:r>
          </w:p>
        </w:tc>
        <w:tc>
          <w:tcPr>
            <w:tcW w:w="1069" w:type="dxa"/>
            <w:tcBorders>
              <w:top w:val="nil"/>
              <w:left w:val="nil"/>
              <w:bottom w:val="nil"/>
              <w:right w:val="nil"/>
            </w:tcBorders>
            <w:shd w:val="clear" w:color="000000" w:fill="D9D9D9"/>
            <w:noWrap/>
            <w:vAlign w:val="bottom"/>
            <w:hideMark/>
          </w:tcPr>
          <w:p w:rsidR="00574A05" w:rsidRPr="00574A05" w:rsidP="00574A05" w14:paraId="7E972D7E"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298 </w:t>
            </w:r>
          </w:p>
        </w:tc>
        <w:tc>
          <w:tcPr>
            <w:tcW w:w="988" w:type="dxa"/>
            <w:tcBorders>
              <w:top w:val="nil"/>
              <w:left w:val="nil"/>
              <w:bottom w:val="nil"/>
              <w:right w:val="nil"/>
            </w:tcBorders>
            <w:noWrap/>
            <w:vAlign w:val="bottom"/>
            <w:hideMark/>
          </w:tcPr>
          <w:p w:rsidR="00574A05" w:rsidRPr="00574A05" w:rsidP="00574A05" w14:paraId="08B93ECD" w14:textId="77777777">
            <w:pPr>
              <w:spacing w:after="0" w:line="240" w:lineRule="auto"/>
              <w:rPr>
                <w:rFonts w:ascii="Arial" w:eastAsia="Times New Roman" w:hAnsi="Arial" w:cs="Arial"/>
                <w:i/>
                <w:iCs/>
                <w:color w:val="215C98"/>
                <w:kern w:val="0"/>
                <w:sz w:val="20"/>
                <w:szCs w:val="20"/>
                <w14:ligatures w14:val="none"/>
              </w:rPr>
            </w:pPr>
          </w:p>
        </w:tc>
      </w:tr>
      <w:tr w14:paraId="3BCF6729"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4A614554"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less other non-regulated sales</w:t>
            </w:r>
          </w:p>
        </w:tc>
        <w:tc>
          <w:tcPr>
            <w:tcW w:w="1255" w:type="dxa"/>
            <w:tcBorders>
              <w:top w:val="nil"/>
              <w:left w:val="nil"/>
              <w:bottom w:val="nil"/>
              <w:right w:val="nil"/>
            </w:tcBorders>
            <w:noWrap/>
            <w:vAlign w:val="bottom"/>
            <w:hideMark/>
          </w:tcPr>
          <w:p w:rsidR="00574A05" w:rsidRPr="00574A05" w:rsidP="00574A05" w14:paraId="10AD809C"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10 </w:t>
            </w:r>
          </w:p>
        </w:tc>
        <w:tc>
          <w:tcPr>
            <w:tcW w:w="1174" w:type="dxa"/>
            <w:tcBorders>
              <w:top w:val="nil"/>
              <w:left w:val="nil"/>
              <w:bottom w:val="nil"/>
              <w:right w:val="nil"/>
            </w:tcBorders>
            <w:noWrap/>
            <w:vAlign w:val="bottom"/>
            <w:hideMark/>
          </w:tcPr>
          <w:p w:rsidR="00574A05" w:rsidRPr="00574A05" w:rsidP="00574A05" w14:paraId="6B2B930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5 </w:t>
            </w:r>
          </w:p>
        </w:tc>
        <w:tc>
          <w:tcPr>
            <w:tcW w:w="1182" w:type="dxa"/>
            <w:tcBorders>
              <w:top w:val="nil"/>
              <w:left w:val="nil"/>
              <w:bottom w:val="nil"/>
              <w:right w:val="nil"/>
            </w:tcBorders>
            <w:noWrap/>
            <w:vAlign w:val="bottom"/>
            <w:hideMark/>
          </w:tcPr>
          <w:p w:rsidR="00574A05" w:rsidRPr="00574A05" w:rsidP="00574A05" w14:paraId="01B4296C"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9 </w:t>
            </w:r>
          </w:p>
        </w:tc>
        <w:tc>
          <w:tcPr>
            <w:tcW w:w="1174" w:type="dxa"/>
            <w:tcBorders>
              <w:top w:val="nil"/>
              <w:left w:val="nil"/>
              <w:bottom w:val="nil"/>
              <w:right w:val="nil"/>
            </w:tcBorders>
            <w:noWrap/>
            <w:vAlign w:val="bottom"/>
            <w:hideMark/>
          </w:tcPr>
          <w:p w:rsidR="00574A05" w:rsidRPr="00574A05" w:rsidP="00574A05" w14:paraId="77A5B86C"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8 </w:t>
            </w:r>
          </w:p>
        </w:tc>
        <w:tc>
          <w:tcPr>
            <w:tcW w:w="1174" w:type="dxa"/>
            <w:tcBorders>
              <w:top w:val="nil"/>
              <w:left w:val="nil"/>
              <w:bottom w:val="nil"/>
              <w:right w:val="nil"/>
            </w:tcBorders>
            <w:noWrap/>
            <w:vAlign w:val="bottom"/>
            <w:hideMark/>
          </w:tcPr>
          <w:p w:rsidR="00574A05" w:rsidRPr="00574A05" w:rsidP="00574A05" w14:paraId="2BA0FD2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8 </w:t>
            </w:r>
          </w:p>
        </w:tc>
        <w:tc>
          <w:tcPr>
            <w:tcW w:w="1069" w:type="dxa"/>
            <w:tcBorders>
              <w:top w:val="nil"/>
              <w:left w:val="nil"/>
              <w:bottom w:val="nil"/>
              <w:right w:val="nil"/>
            </w:tcBorders>
            <w:noWrap/>
            <w:vAlign w:val="bottom"/>
            <w:hideMark/>
          </w:tcPr>
          <w:p w:rsidR="00574A05" w:rsidRPr="00574A05" w:rsidP="00574A05" w14:paraId="5A1D6E27" w14:textId="77777777">
            <w:pPr>
              <w:spacing w:after="0" w:line="240" w:lineRule="auto"/>
              <w:jc w:val="right"/>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9</w:t>
            </w:r>
            <w:r w:rsidRPr="00574A05">
              <w:rPr>
                <w:rFonts w:ascii="Aptos Narrow" w:eastAsia="Times New Roman" w:hAnsi="Aptos Narrow" w:cs="Times New Roman"/>
                <w:color w:val="000000"/>
                <w:kern w:val="0"/>
                <w:sz w:val="22"/>
                <w:szCs w:val="22"/>
                <w14:ligatures w14:val="none"/>
              </w:rPr>
              <w:t xml:space="preserve"> </w:t>
            </w:r>
          </w:p>
        </w:tc>
        <w:tc>
          <w:tcPr>
            <w:tcW w:w="1069" w:type="dxa"/>
            <w:tcBorders>
              <w:top w:val="nil"/>
              <w:left w:val="nil"/>
              <w:bottom w:val="nil"/>
              <w:right w:val="nil"/>
            </w:tcBorders>
            <w:shd w:val="clear" w:color="000000" w:fill="D9D9D9"/>
            <w:noWrap/>
            <w:vAlign w:val="bottom"/>
            <w:hideMark/>
          </w:tcPr>
          <w:p w:rsidR="00574A05" w:rsidRPr="00574A05" w:rsidP="00574A05" w14:paraId="3617C0F6"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8 </w:t>
            </w:r>
          </w:p>
        </w:tc>
        <w:tc>
          <w:tcPr>
            <w:tcW w:w="1069" w:type="dxa"/>
            <w:tcBorders>
              <w:top w:val="nil"/>
              <w:left w:val="nil"/>
              <w:bottom w:val="nil"/>
              <w:right w:val="nil"/>
            </w:tcBorders>
            <w:shd w:val="clear" w:color="000000" w:fill="D9D9D9"/>
            <w:noWrap/>
            <w:vAlign w:val="bottom"/>
            <w:hideMark/>
          </w:tcPr>
          <w:p w:rsidR="00574A05" w:rsidRPr="00574A05" w:rsidP="00574A05" w14:paraId="48525B55"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9 </w:t>
            </w:r>
          </w:p>
        </w:tc>
        <w:tc>
          <w:tcPr>
            <w:tcW w:w="988" w:type="dxa"/>
            <w:tcBorders>
              <w:top w:val="nil"/>
              <w:left w:val="nil"/>
              <w:bottom w:val="nil"/>
              <w:right w:val="nil"/>
            </w:tcBorders>
            <w:noWrap/>
            <w:vAlign w:val="bottom"/>
            <w:hideMark/>
          </w:tcPr>
          <w:p w:rsidR="00574A05" w:rsidRPr="00574A05" w:rsidP="00574A05" w14:paraId="1A86AE0A" w14:textId="77777777">
            <w:pPr>
              <w:spacing w:after="0" w:line="240" w:lineRule="auto"/>
              <w:rPr>
                <w:rFonts w:ascii="Arial" w:eastAsia="Times New Roman" w:hAnsi="Arial" w:cs="Arial"/>
                <w:i/>
                <w:iCs/>
                <w:color w:val="215C98"/>
                <w:kern w:val="0"/>
                <w:sz w:val="20"/>
                <w:szCs w:val="20"/>
                <w14:ligatures w14:val="none"/>
              </w:rPr>
            </w:pPr>
          </w:p>
        </w:tc>
      </w:tr>
      <w:tr w14:paraId="6840422A"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1EB56C35"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Net PA milk subject to minimum pricing</w:t>
            </w:r>
          </w:p>
        </w:tc>
        <w:tc>
          <w:tcPr>
            <w:tcW w:w="1255" w:type="dxa"/>
            <w:tcBorders>
              <w:top w:val="nil"/>
              <w:left w:val="nil"/>
              <w:bottom w:val="nil"/>
              <w:right w:val="nil"/>
            </w:tcBorders>
            <w:noWrap/>
            <w:vAlign w:val="bottom"/>
            <w:hideMark/>
          </w:tcPr>
          <w:p w:rsidR="00574A05" w:rsidRPr="00574A05" w:rsidP="00574A05" w14:paraId="3104FEB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1,426 </w:t>
            </w:r>
          </w:p>
        </w:tc>
        <w:tc>
          <w:tcPr>
            <w:tcW w:w="1174" w:type="dxa"/>
            <w:tcBorders>
              <w:top w:val="nil"/>
              <w:left w:val="nil"/>
              <w:bottom w:val="nil"/>
              <w:right w:val="nil"/>
            </w:tcBorders>
            <w:noWrap/>
            <w:vAlign w:val="bottom"/>
            <w:hideMark/>
          </w:tcPr>
          <w:p w:rsidR="00574A05" w:rsidRPr="00574A05" w:rsidP="00574A05" w14:paraId="27AC03E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1,341 </w:t>
            </w:r>
          </w:p>
        </w:tc>
        <w:tc>
          <w:tcPr>
            <w:tcW w:w="1182" w:type="dxa"/>
            <w:tcBorders>
              <w:top w:val="nil"/>
              <w:left w:val="nil"/>
              <w:bottom w:val="nil"/>
              <w:right w:val="nil"/>
            </w:tcBorders>
            <w:noWrap/>
            <w:vAlign w:val="bottom"/>
            <w:hideMark/>
          </w:tcPr>
          <w:p w:rsidR="00574A05" w:rsidRPr="00574A05" w:rsidP="00574A05" w14:paraId="0D1D82F7"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1,321 </w:t>
            </w:r>
          </w:p>
        </w:tc>
        <w:tc>
          <w:tcPr>
            <w:tcW w:w="1174" w:type="dxa"/>
            <w:tcBorders>
              <w:top w:val="nil"/>
              <w:left w:val="nil"/>
              <w:bottom w:val="nil"/>
              <w:right w:val="nil"/>
            </w:tcBorders>
            <w:noWrap/>
            <w:vAlign w:val="bottom"/>
            <w:hideMark/>
          </w:tcPr>
          <w:p w:rsidR="00574A05" w:rsidRPr="00574A05" w:rsidP="00574A05" w14:paraId="4036085C"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1,380 </w:t>
            </w:r>
          </w:p>
        </w:tc>
        <w:tc>
          <w:tcPr>
            <w:tcW w:w="1174" w:type="dxa"/>
            <w:tcBorders>
              <w:top w:val="nil"/>
              <w:left w:val="nil"/>
              <w:bottom w:val="nil"/>
              <w:right w:val="nil"/>
            </w:tcBorders>
            <w:noWrap/>
            <w:vAlign w:val="bottom"/>
            <w:hideMark/>
          </w:tcPr>
          <w:p w:rsidR="00574A05" w:rsidRPr="00574A05" w:rsidP="00574A05" w14:paraId="73EB87F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1,377 </w:t>
            </w:r>
          </w:p>
        </w:tc>
        <w:tc>
          <w:tcPr>
            <w:tcW w:w="1069" w:type="dxa"/>
            <w:tcBorders>
              <w:top w:val="nil"/>
              <w:left w:val="nil"/>
              <w:bottom w:val="nil"/>
              <w:right w:val="nil"/>
            </w:tcBorders>
            <w:noWrap/>
            <w:vAlign w:val="bottom"/>
            <w:hideMark/>
          </w:tcPr>
          <w:p w:rsidR="00574A05" w:rsidRPr="00574A05" w:rsidP="00574A05" w14:paraId="2DCBE0B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1,407 </w:t>
            </w:r>
          </w:p>
        </w:tc>
        <w:tc>
          <w:tcPr>
            <w:tcW w:w="1069" w:type="dxa"/>
            <w:tcBorders>
              <w:top w:val="nil"/>
              <w:left w:val="nil"/>
              <w:bottom w:val="nil"/>
              <w:right w:val="nil"/>
            </w:tcBorders>
            <w:shd w:val="clear" w:color="000000" w:fill="D9D9D9"/>
            <w:noWrap/>
            <w:vAlign w:val="bottom"/>
            <w:hideMark/>
          </w:tcPr>
          <w:p w:rsidR="00574A05" w:rsidRPr="00574A05" w:rsidP="00574A05" w14:paraId="01782872"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1,383 </w:t>
            </w:r>
          </w:p>
        </w:tc>
        <w:tc>
          <w:tcPr>
            <w:tcW w:w="1069" w:type="dxa"/>
            <w:tcBorders>
              <w:top w:val="nil"/>
              <w:left w:val="nil"/>
              <w:bottom w:val="nil"/>
              <w:right w:val="nil"/>
            </w:tcBorders>
            <w:shd w:val="clear" w:color="000000" w:fill="D9D9D9"/>
            <w:noWrap/>
            <w:vAlign w:val="bottom"/>
            <w:hideMark/>
          </w:tcPr>
          <w:p w:rsidR="00574A05" w:rsidRPr="00574A05" w:rsidP="00574A05" w14:paraId="79B442BA"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1,385 </w:t>
            </w:r>
          </w:p>
        </w:tc>
        <w:tc>
          <w:tcPr>
            <w:tcW w:w="988" w:type="dxa"/>
            <w:tcBorders>
              <w:top w:val="nil"/>
              <w:left w:val="nil"/>
              <w:bottom w:val="nil"/>
              <w:right w:val="nil"/>
            </w:tcBorders>
            <w:noWrap/>
            <w:vAlign w:val="bottom"/>
            <w:hideMark/>
          </w:tcPr>
          <w:p w:rsidR="00574A05" w:rsidRPr="00574A05" w:rsidP="00574A05" w14:paraId="1370C4F2" w14:textId="77777777">
            <w:pPr>
              <w:spacing w:after="0" w:line="240" w:lineRule="auto"/>
              <w:rPr>
                <w:rFonts w:ascii="Arial" w:eastAsia="Times New Roman" w:hAnsi="Arial" w:cs="Arial"/>
                <w:i/>
                <w:iCs/>
                <w:color w:val="215C98"/>
                <w:kern w:val="0"/>
                <w:sz w:val="20"/>
                <w:szCs w:val="20"/>
                <w14:ligatures w14:val="none"/>
              </w:rPr>
            </w:pPr>
          </w:p>
        </w:tc>
      </w:tr>
      <w:tr w14:paraId="2CB45B25"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043745B0"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Est. volume not regulated by PMMB</w:t>
            </w:r>
          </w:p>
        </w:tc>
        <w:tc>
          <w:tcPr>
            <w:tcW w:w="1255" w:type="dxa"/>
            <w:tcBorders>
              <w:top w:val="nil"/>
              <w:left w:val="nil"/>
              <w:bottom w:val="nil"/>
              <w:right w:val="nil"/>
            </w:tcBorders>
            <w:noWrap/>
            <w:vAlign w:val="bottom"/>
            <w:hideMark/>
          </w:tcPr>
          <w:p w:rsidR="00574A05" w:rsidRPr="00574A05" w:rsidP="00574A05" w14:paraId="5779312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                 455 </w:t>
            </w:r>
          </w:p>
        </w:tc>
        <w:tc>
          <w:tcPr>
            <w:tcW w:w="1174" w:type="dxa"/>
            <w:tcBorders>
              <w:top w:val="nil"/>
              <w:left w:val="nil"/>
              <w:bottom w:val="nil"/>
              <w:right w:val="nil"/>
            </w:tcBorders>
            <w:noWrap/>
            <w:vAlign w:val="bottom"/>
            <w:hideMark/>
          </w:tcPr>
          <w:p w:rsidR="00574A05" w:rsidRPr="00574A05" w:rsidP="00574A05" w14:paraId="5F5F7231"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474 </w:t>
            </w:r>
          </w:p>
        </w:tc>
        <w:tc>
          <w:tcPr>
            <w:tcW w:w="1182" w:type="dxa"/>
            <w:tcBorders>
              <w:top w:val="nil"/>
              <w:left w:val="nil"/>
              <w:bottom w:val="nil"/>
              <w:right w:val="nil"/>
            </w:tcBorders>
            <w:noWrap/>
            <w:vAlign w:val="bottom"/>
            <w:hideMark/>
          </w:tcPr>
          <w:p w:rsidR="00574A05" w:rsidRPr="00574A05" w:rsidP="00574A05" w14:paraId="6BACB783"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467 </w:t>
            </w:r>
          </w:p>
        </w:tc>
        <w:tc>
          <w:tcPr>
            <w:tcW w:w="1174" w:type="dxa"/>
            <w:tcBorders>
              <w:top w:val="nil"/>
              <w:left w:val="nil"/>
              <w:bottom w:val="nil"/>
              <w:right w:val="nil"/>
            </w:tcBorders>
            <w:noWrap/>
            <w:vAlign w:val="bottom"/>
            <w:hideMark/>
          </w:tcPr>
          <w:p w:rsidR="00574A05" w:rsidRPr="00574A05" w:rsidP="00574A05" w14:paraId="5C09042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428 </w:t>
            </w:r>
          </w:p>
        </w:tc>
        <w:tc>
          <w:tcPr>
            <w:tcW w:w="1174" w:type="dxa"/>
            <w:tcBorders>
              <w:top w:val="nil"/>
              <w:left w:val="nil"/>
              <w:bottom w:val="nil"/>
              <w:right w:val="nil"/>
            </w:tcBorders>
            <w:noWrap/>
            <w:vAlign w:val="bottom"/>
            <w:hideMark/>
          </w:tcPr>
          <w:p w:rsidR="00574A05" w:rsidRPr="00574A05" w:rsidP="00574A05" w14:paraId="60F0B41D"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359 </w:t>
            </w:r>
          </w:p>
        </w:tc>
        <w:tc>
          <w:tcPr>
            <w:tcW w:w="1069" w:type="dxa"/>
            <w:tcBorders>
              <w:top w:val="nil"/>
              <w:left w:val="nil"/>
              <w:bottom w:val="nil"/>
              <w:right w:val="nil"/>
            </w:tcBorders>
            <w:noWrap/>
            <w:vAlign w:val="bottom"/>
            <w:hideMark/>
          </w:tcPr>
          <w:p w:rsidR="00574A05" w:rsidRPr="00574A05" w:rsidP="00574A05" w14:paraId="0D3AB0FA"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 xml:space="preserve">279 </w:t>
            </w:r>
          </w:p>
        </w:tc>
        <w:tc>
          <w:tcPr>
            <w:tcW w:w="1069" w:type="dxa"/>
            <w:tcBorders>
              <w:top w:val="nil"/>
              <w:left w:val="nil"/>
              <w:bottom w:val="nil"/>
              <w:right w:val="nil"/>
            </w:tcBorders>
            <w:shd w:val="clear" w:color="000000" w:fill="D9D9D9"/>
            <w:noWrap/>
            <w:vAlign w:val="bottom"/>
            <w:hideMark/>
          </w:tcPr>
          <w:p w:rsidR="00574A05" w:rsidRPr="00574A05" w:rsidP="00574A05" w14:paraId="1FA424A3"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284 </w:t>
            </w:r>
          </w:p>
        </w:tc>
        <w:tc>
          <w:tcPr>
            <w:tcW w:w="1069" w:type="dxa"/>
            <w:tcBorders>
              <w:top w:val="nil"/>
              <w:left w:val="nil"/>
              <w:bottom w:val="nil"/>
              <w:right w:val="nil"/>
            </w:tcBorders>
            <w:shd w:val="clear" w:color="000000" w:fill="D9D9D9"/>
            <w:noWrap/>
            <w:vAlign w:val="bottom"/>
            <w:hideMark/>
          </w:tcPr>
          <w:p w:rsidR="00574A05" w:rsidRPr="00574A05" w:rsidP="00574A05" w14:paraId="771E556E" w14:textId="77777777">
            <w:pPr>
              <w:spacing w:after="0" w:line="240" w:lineRule="auto"/>
              <w:jc w:val="right"/>
              <w:rPr>
                <w:rFonts w:ascii="Arial" w:eastAsia="Times New Roman" w:hAnsi="Arial" w:cs="Arial"/>
                <w:i/>
                <w:iCs/>
                <w:color w:val="215C98"/>
                <w:kern w:val="0"/>
                <w:sz w:val="20"/>
                <w:szCs w:val="20"/>
                <w14:ligatures w14:val="none"/>
              </w:rPr>
            </w:pPr>
            <w:r w:rsidRPr="00574A05">
              <w:rPr>
                <w:rFonts w:ascii="Arial" w:eastAsia="Times New Roman" w:hAnsi="Arial" w:cs="Arial"/>
                <w:i/>
                <w:iCs/>
                <w:color w:val="215C98"/>
                <w:kern w:val="0"/>
                <w:sz w:val="20"/>
                <w:szCs w:val="20"/>
                <w14:ligatures w14:val="none"/>
              </w:rPr>
              <w:t xml:space="preserve">        248 </w:t>
            </w:r>
          </w:p>
        </w:tc>
        <w:tc>
          <w:tcPr>
            <w:tcW w:w="988" w:type="dxa"/>
            <w:tcBorders>
              <w:top w:val="nil"/>
              <w:left w:val="nil"/>
              <w:bottom w:val="nil"/>
              <w:right w:val="nil"/>
            </w:tcBorders>
            <w:noWrap/>
            <w:vAlign w:val="bottom"/>
            <w:hideMark/>
          </w:tcPr>
          <w:p w:rsidR="00574A05" w:rsidRPr="00574A05" w:rsidP="00574A05" w14:paraId="61C06375" w14:textId="77777777">
            <w:pPr>
              <w:spacing w:after="0" w:line="240" w:lineRule="auto"/>
              <w:rPr>
                <w:rFonts w:ascii="Arial" w:eastAsia="Times New Roman" w:hAnsi="Arial" w:cs="Arial"/>
                <w:i/>
                <w:iCs/>
                <w:color w:val="215C98"/>
                <w:kern w:val="0"/>
                <w:sz w:val="20"/>
                <w:szCs w:val="20"/>
                <w14:ligatures w14:val="none"/>
              </w:rPr>
            </w:pPr>
          </w:p>
        </w:tc>
      </w:tr>
      <w:tr w14:paraId="64D3CE93"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1E19538A" w14:textId="77777777">
            <w:pPr>
              <w:spacing w:after="0" w:line="240" w:lineRule="auto"/>
              <w:rPr>
                <w:rFonts w:ascii="Times New Roman" w:eastAsia="Times New Roman" w:hAnsi="Times New Roman" w:cs="Times New Roman"/>
                <w:kern w:val="0"/>
                <w:sz w:val="20"/>
                <w:szCs w:val="20"/>
                <w14:ligatures w14:val="none"/>
              </w:rPr>
            </w:pPr>
          </w:p>
        </w:tc>
        <w:tc>
          <w:tcPr>
            <w:tcW w:w="1255" w:type="dxa"/>
            <w:tcBorders>
              <w:top w:val="nil"/>
              <w:left w:val="nil"/>
              <w:bottom w:val="nil"/>
              <w:right w:val="nil"/>
            </w:tcBorders>
            <w:noWrap/>
            <w:vAlign w:val="bottom"/>
            <w:hideMark/>
          </w:tcPr>
          <w:p w:rsidR="00574A05" w:rsidRPr="00574A05" w:rsidP="00574A05" w14:paraId="4CA69858"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2E2F3F30" w14:textId="77777777">
            <w:pPr>
              <w:spacing w:after="0" w:line="240" w:lineRule="auto"/>
              <w:rPr>
                <w:rFonts w:ascii="Times New Roman" w:eastAsia="Times New Roman" w:hAnsi="Times New Roman" w:cs="Times New Roman"/>
                <w:kern w:val="0"/>
                <w:sz w:val="20"/>
                <w:szCs w:val="20"/>
                <w14:ligatures w14:val="none"/>
              </w:rPr>
            </w:pPr>
          </w:p>
        </w:tc>
        <w:tc>
          <w:tcPr>
            <w:tcW w:w="1182" w:type="dxa"/>
            <w:tcBorders>
              <w:top w:val="nil"/>
              <w:left w:val="nil"/>
              <w:bottom w:val="nil"/>
              <w:right w:val="nil"/>
            </w:tcBorders>
            <w:noWrap/>
            <w:vAlign w:val="bottom"/>
            <w:hideMark/>
          </w:tcPr>
          <w:p w:rsidR="00574A05" w:rsidRPr="00574A05" w:rsidP="00574A05" w14:paraId="6597D865"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0D55913B"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26B1458C"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79C5DFC7"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3726BFEB"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649D6021" w14:textId="77777777">
            <w:pPr>
              <w:spacing w:after="0" w:line="240" w:lineRule="auto"/>
              <w:rPr>
                <w:rFonts w:ascii="Times New Roman" w:eastAsia="Times New Roman" w:hAnsi="Times New Roman" w:cs="Times New Roman"/>
                <w:kern w:val="0"/>
                <w:sz w:val="20"/>
                <w:szCs w:val="20"/>
                <w14:ligatures w14:val="none"/>
              </w:rPr>
            </w:pPr>
          </w:p>
        </w:tc>
        <w:tc>
          <w:tcPr>
            <w:tcW w:w="988" w:type="dxa"/>
            <w:tcBorders>
              <w:top w:val="nil"/>
              <w:left w:val="nil"/>
              <w:bottom w:val="nil"/>
              <w:right w:val="nil"/>
            </w:tcBorders>
            <w:noWrap/>
            <w:vAlign w:val="bottom"/>
            <w:hideMark/>
          </w:tcPr>
          <w:p w:rsidR="00574A05" w:rsidRPr="00574A05" w:rsidP="00574A05" w14:paraId="047DAFF4" w14:textId="77777777">
            <w:pPr>
              <w:spacing w:after="0" w:line="240" w:lineRule="auto"/>
              <w:rPr>
                <w:rFonts w:ascii="Times New Roman" w:eastAsia="Times New Roman" w:hAnsi="Times New Roman" w:cs="Times New Roman"/>
                <w:kern w:val="0"/>
                <w:sz w:val="20"/>
                <w:szCs w:val="20"/>
                <w14:ligatures w14:val="none"/>
              </w:rPr>
            </w:pPr>
          </w:p>
        </w:tc>
      </w:tr>
      <w:tr w14:paraId="2EAE98F7" w14:textId="77777777" w:rsidTr="00E20882">
        <w:tblPrEx>
          <w:tblW w:w="13844" w:type="dxa"/>
          <w:tblLook w:val="04A0"/>
        </w:tblPrEx>
        <w:trPr>
          <w:trHeight w:val="286"/>
        </w:trPr>
        <w:tc>
          <w:tcPr>
            <w:tcW w:w="3690" w:type="dxa"/>
            <w:tcBorders>
              <w:top w:val="nil"/>
              <w:left w:val="nil"/>
              <w:bottom w:val="nil"/>
              <w:right w:val="nil"/>
            </w:tcBorders>
            <w:vAlign w:val="bottom"/>
            <w:hideMark/>
          </w:tcPr>
          <w:p w:rsidR="00574A05" w:rsidRPr="00574A05" w:rsidP="00574A05" w14:paraId="2CA8BA51"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PA Class I sales relative to PA produce milk</w:t>
            </w:r>
          </w:p>
        </w:tc>
        <w:tc>
          <w:tcPr>
            <w:tcW w:w="1255" w:type="dxa"/>
            <w:tcBorders>
              <w:top w:val="nil"/>
              <w:left w:val="nil"/>
              <w:bottom w:val="nil"/>
              <w:right w:val="nil"/>
            </w:tcBorders>
            <w:noWrap/>
            <w:vAlign w:val="bottom"/>
            <w:hideMark/>
          </w:tcPr>
          <w:p w:rsidR="00574A05" w:rsidRPr="00574A05" w:rsidP="00574A05" w14:paraId="600071E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17.3%</w:t>
            </w:r>
          </w:p>
        </w:tc>
        <w:tc>
          <w:tcPr>
            <w:tcW w:w="1174" w:type="dxa"/>
            <w:tcBorders>
              <w:top w:val="nil"/>
              <w:left w:val="nil"/>
              <w:bottom w:val="nil"/>
              <w:right w:val="nil"/>
            </w:tcBorders>
            <w:noWrap/>
            <w:vAlign w:val="bottom"/>
            <w:hideMark/>
          </w:tcPr>
          <w:p w:rsidR="00574A05" w:rsidRPr="00574A05" w:rsidP="00574A05" w14:paraId="0C1E2813"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17.0%</w:t>
            </w:r>
          </w:p>
        </w:tc>
        <w:tc>
          <w:tcPr>
            <w:tcW w:w="1182" w:type="dxa"/>
            <w:tcBorders>
              <w:top w:val="nil"/>
              <w:left w:val="nil"/>
              <w:bottom w:val="nil"/>
              <w:right w:val="nil"/>
            </w:tcBorders>
            <w:noWrap/>
            <w:vAlign w:val="bottom"/>
            <w:hideMark/>
          </w:tcPr>
          <w:p w:rsidR="00574A05" w:rsidRPr="00574A05" w:rsidP="00574A05" w14:paraId="7BF4181F"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17.7%</w:t>
            </w:r>
          </w:p>
        </w:tc>
        <w:tc>
          <w:tcPr>
            <w:tcW w:w="1174" w:type="dxa"/>
            <w:tcBorders>
              <w:top w:val="nil"/>
              <w:left w:val="nil"/>
              <w:bottom w:val="nil"/>
              <w:right w:val="nil"/>
            </w:tcBorders>
            <w:noWrap/>
            <w:vAlign w:val="bottom"/>
            <w:hideMark/>
          </w:tcPr>
          <w:p w:rsidR="00574A05" w:rsidRPr="00574A05" w:rsidP="00574A05" w14:paraId="5E4E5871"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17.6%</w:t>
            </w:r>
          </w:p>
        </w:tc>
        <w:tc>
          <w:tcPr>
            <w:tcW w:w="1174" w:type="dxa"/>
            <w:tcBorders>
              <w:top w:val="nil"/>
              <w:left w:val="nil"/>
              <w:bottom w:val="nil"/>
              <w:right w:val="nil"/>
            </w:tcBorders>
            <w:noWrap/>
            <w:vAlign w:val="bottom"/>
            <w:hideMark/>
          </w:tcPr>
          <w:p w:rsidR="00574A05" w:rsidRPr="00574A05" w:rsidP="00574A05" w14:paraId="7EA3D89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17.2%</w:t>
            </w:r>
          </w:p>
        </w:tc>
        <w:tc>
          <w:tcPr>
            <w:tcW w:w="1069" w:type="dxa"/>
            <w:tcBorders>
              <w:top w:val="nil"/>
              <w:left w:val="nil"/>
              <w:bottom w:val="nil"/>
              <w:right w:val="nil"/>
            </w:tcBorders>
            <w:noWrap/>
            <w:vAlign w:val="bottom"/>
            <w:hideMark/>
          </w:tcPr>
          <w:p w:rsidR="00574A05" w:rsidRPr="00574A05" w:rsidP="00574A05" w14:paraId="6EB813A1"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16.9%</w:t>
            </w:r>
          </w:p>
        </w:tc>
        <w:tc>
          <w:tcPr>
            <w:tcW w:w="1069" w:type="dxa"/>
            <w:tcBorders>
              <w:top w:val="nil"/>
              <w:left w:val="nil"/>
              <w:bottom w:val="nil"/>
              <w:right w:val="nil"/>
            </w:tcBorders>
            <w:shd w:val="clear" w:color="auto" w:fill="D9D9D9" w:themeFill="background1" w:themeFillShade="D9"/>
            <w:noWrap/>
            <w:vAlign w:val="bottom"/>
            <w:hideMark/>
          </w:tcPr>
          <w:p w:rsidR="00574A05" w:rsidRPr="00574A05" w:rsidP="00574A05" w14:paraId="26D6097E" w14:textId="77777777">
            <w:pPr>
              <w:spacing w:after="0" w:line="240" w:lineRule="auto"/>
              <w:jc w:val="right"/>
              <w:rPr>
                <w:rFonts w:ascii="Calibri" w:eastAsia="Times New Roman" w:hAnsi="Calibri" w:cs="Calibri"/>
                <w:i/>
                <w:iCs/>
                <w:color w:val="0000FF"/>
                <w:kern w:val="0"/>
                <w:sz w:val="22"/>
                <w:szCs w:val="22"/>
                <w14:ligatures w14:val="none"/>
              </w:rPr>
            </w:pPr>
            <w:r w:rsidRPr="00574A05">
              <w:rPr>
                <w:rFonts w:ascii="Calibri" w:eastAsia="Times New Roman" w:hAnsi="Calibri" w:cs="Calibri"/>
                <w:i/>
                <w:iCs/>
                <w:color w:val="0000FF"/>
                <w:kern w:val="0"/>
                <w:sz w:val="22"/>
                <w:szCs w:val="22"/>
                <w14:ligatures w14:val="none"/>
              </w:rPr>
              <w:t>16.9%</w:t>
            </w:r>
          </w:p>
        </w:tc>
        <w:tc>
          <w:tcPr>
            <w:tcW w:w="1069" w:type="dxa"/>
            <w:tcBorders>
              <w:top w:val="nil"/>
              <w:left w:val="nil"/>
              <w:bottom w:val="nil"/>
              <w:right w:val="nil"/>
            </w:tcBorders>
            <w:shd w:val="clear" w:color="auto" w:fill="D9D9D9" w:themeFill="background1" w:themeFillShade="D9"/>
            <w:noWrap/>
            <w:vAlign w:val="bottom"/>
            <w:hideMark/>
          </w:tcPr>
          <w:p w:rsidR="00574A05" w:rsidRPr="00574A05" w:rsidP="00574A05" w14:paraId="7C36DFF1" w14:textId="77777777">
            <w:pPr>
              <w:spacing w:after="0" w:line="240" w:lineRule="auto"/>
              <w:jc w:val="right"/>
              <w:rPr>
                <w:rFonts w:ascii="Calibri" w:eastAsia="Times New Roman" w:hAnsi="Calibri" w:cs="Calibri"/>
                <w:i/>
                <w:iCs/>
                <w:color w:val="0000FF"/>
                <w:kern w:val="0"/>
                <w:sz w:val="22"/>
                <w:szCs w:val="22"/>
                <w14:ligatures w14:val="none"/>
              </w:rPr>
            </w:pPr>
            <w:r w:rsidRPr="00574A05">
              <w:rPr>
                <w:rFonts w:ascii="Calibri" w:eastAsia="Times New Roman" w:hAnsi="Calibri" w:cs="Calibri"/>
                <w:i/>
                <w:iCs/>
                <w:color w:val="0000FF"/>
                <w:kern w:val="0"/>
                <w:sz w:val="22"/>
                <w:szCs w:val="22"/>
                <w14:ligatures w14:val="none"/>
              </w:rPr>
              <w:t>16.</w:t>
            </w:r>
            <w:r w:rsidR="00E20882">
              <w:rPr>
                <w:rFonts w:ascii="Calibri" w:eastAsia="Times New Roman" w:hAnsi="Calibri" w:cs="Calibri"/>
                <w:i/>
                <w:iCs/>
                <w:color w:val="0000FF"/>
                <w:kern w:val="0"/>
                <w:sz w:val="22"/>
                <w:szCs w:val="22"/>
                <w14:ligatures w14:val="none"/>
              </w:rPr>
              <w:t>8</w:t>
            </w:r>
            <w:r w:rsidRPr="00574A05">
              <w:rPr>
                <w:rFonts w:ascii="Calibri" w:eastAsia="Times New Roman" w:hAnsi="Calibri" w:cs="Calibri"/>
                <w:i/>
                <w:iCs/>
                <w:color w:val="0000FF"/>
                <w:kern w:val="0"/>
                <w:sz w:val="22"/>
                <w:szCs w:val="22"/>
                <w14:ligatures w14:val="none"/>
              </w:rPr>
              <w:t>%</w:t>
            </w:r>
          </w:p>
        </w:tc>
        <w:tc>
          <w:tcPr>
            <w:tcW w:w="988" w:type="dxa"/>
            <w:tcBorders>
              <w:top w:val="nil"/>
              <w:left w:val="nil"/>
              <w:bottom w:val="nil"/>
              <w:right w:val="nil"/>
            </w:tcBorders>
            <w:noWrap/>
            <w:vAlign w:val="bottom"/>
            <w:hideMark/>
          </w:tcPr>
          <w:p w:rsidR="00574A05" w:rsidRPr="00574A05" w:rsidP="00574A05" w14:paraId="603A1117" w14:textId="77777777">
            <w:pPr>
              <w:spacing w:after="0" w:line="240" w:lineRule="auto"/>
              <w:jc w:val="right"/>
              <w:rPr>
                <w:rFonts w:ascii="Calibri" w:eastAsia="Times New Roman" w:hAnsi="Calibri" w:cs="Calibri"/>
                <w:i/>
                <w:iCs/>
                <w:color w:val="0000FF"/>
                <w:kern w:val="0"/>
                <w:sz w:val="22"/>
                <w:szCs w:val="22"/>
                <w14:ligatures w14:val="none"/>
              </w:rPr>
            </w:pPr>
          </w:p>
        </w:tc>
      </w:tr>
      <w:tr w14:paraId="623781E5" w14:textId="77777777" w:rsidTr="00E20882">
        <w:tblPrEx>
          <w:tblW w:w="13844" w:type="dxa"/>
          <w:tblLook w:val="04A0"/>
        </w:tblPrEx>
        <w:trPr>
          <w:trHeight w:val="573"/>
        </w:trPr>
        <w:tc>
          <w:tcPr>
            <w:tcW w:w="3690" w:type="dxa"/>
            <w:tcBorders>
              <w:top w:val="nil"/>
              <w:left w:val="nil"/>
              <w:bottom w:val="single" w:sz="4" w:space="0" w:color="auto"/>
              <w:right w:val="nil"/>
            </w:tcBorders>
            <w:vAlign w:val="bottom"/>
            <w:hideMark/>
          </w:tcPr>
          <w:p w:rsidR="00574A05" w:rsidRPr="00574A05" w:rsidP="00574A05" w14:paraId="7B2F0E00" w14:textId="77777777">
            <w:pPr>
              <w:spacing w:after="0" w:line="240" w:lineRule="auto"/>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Percent of PA fluid milk sales not subject to the minimum price</w:t>
            </w:r>
          </w:p>
        </w:tc>
        <w:tc>
          <w:tcPr>
            <w:tcW w:w="1255" w:type="dxa"/>
            <w:tcBorders>
              <w:top w:val="nil"/>
              <w:left w:val="nil"/>
              <w:bottom w:val="single" w:sz="4" w:space="0" w:color="auto"/>
              <w:right w:val="nil"/>
            </w:tcBorders>
            <w:noWrap/>
            <w:vAlign w:val="bottom"/>
            <w:hideMark/>
          </w:tcPr>
          <w:p w:rsidR="00574A05" w:rsidRPr="00574A05" w:rsidP="00574A05" w14:paraId="573900C6"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24.2%</w:t>
            </w:r>
          </w:p>
        </w:tc>
        <w:tc>
          <w:tcPr>
            <w:tcW w:w="1174" w:type="dxa"/>
            <w:tcBorders>
              <w:top w:val="nil"/>
              <w:left w:val="nil"/>
              <w:bottom w:val="single" w:sz="4" w:space="0" w:color="auto"/>
              <w:right w:val="nil"/>
            </w:tcBorders>
            <w:noWrap/>
            <w:vAlign w:val="bottom"/>
            <w:hideMark/>
          </w:tcPr>
          <w:p w:rsidR="00574A05" w:rsidRPr="00574A05" w:rsidP="00574A05" w14:paraId="40DF7FA0"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26.1%</w:t>
            </w:r>
          </w:p>
        </w:tc>
        <w:tc>
          <w:tcPr>
            <w:tcW w:w="1182" w:type="dxa"/>
            <w:tcBorders>
              <w:top w:val="nil"/>
              <w:left w:val="nil"/>
              <w:bottom w:val="single" w:sz="4" w:space="0" w:color="auto"/>
              <w:right w:val="nil"/>
            </w:tcBorders>
            <w:noWrap/>
            <w:vAlign w:val="bottom"/>
            <w:hideMark/>
          </w:tcPr>
          <w:p w:rsidR="00574A05" w:rsidRPr="00574A05" w:rsidP="00574A05" w14:paraId="592FF2D7"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26.1%</w:t>
            </w:r>
          </w:p>
        </w:tc>
        <w:tc>
          <w:tcPr>
            <w:tcW w:w="1174" w:type="dxa"/>
            <w:tcBorders>
              <w:top w:val="nil"/>
              <w:left w:val="nil"/>
              <w:bottom w:val="single" w:sz="4" w:space="0" w:color="auto"/>
              <w:right w:val="nil"/>
            </w:tcBorders>
            <w:noWrap/>
            <w:vAlign w:val="bottom"/>
            <w:hideMark/>
          </w:tcPr>
          <w:p w:rsidR="00574A05" w:rsidRPr="00574A05" w:rsidP="00574A05" w14:paraId="1F841A84"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23.7%</w:t>
            </w:r>
          </w:p>
        </w:tc>
        <w:tc>
          <w:tcPr>
            <w:tcW w:w="1174" w:type="dxa"/>
            <w:tcBorders>
              <w:top w:val="nil"/>
              <w:left w:val="nil"/>
              <w:bottom w:val="single" w:sz="4" w:space="0" w:color="auto"/>
              <w:right w:val="nil"/>
            </w:tcBorders>
            <w:noWrap/>
            <w:vAlign w:val="bottom"/>
            <w:hideMark/>
          </w:tcPr>
          <w:p w:rsidR="00574A05" w:rsidRPr="00574A05" w:rsidP="00574A05" w14:paraId="29FA0FD3"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20.7%</w:t>
            </w:r>
          </w:p>
        </w:tc>
        <w:tc>
          <w:tcPr>
            <w:tcW w:w="1069" w:type="dxa"/>
            <w:tcBorders>
              <w:top w:val="nil"/>
              <w:left w:val="nil"/>
              <w:bottom w:val="single" w:sz="4" w:space="0" w:color="auto"/>
              <w:right w:val="nil"/>
            </w:tcBorders>
            <w:noWrap/>
            <w:vAlign w:val="bottom"/>
            <w:hideMark/>
          </w:tcPr>
          <w:p w:rsidR="00574A05" w:rsidRPr="00574A05" w:rsidP="00574A05" w14:paraId="793DCB45" w14:textId="77777777">
            <w:pPr>
              <w:spacing w:after="0" w:line="240" w:lineRule="auto"/>
              <w:jc w:val="right"/>
              <w:rPr>
                <w:rFonts w:ascii="Aptos Narrow" w:eastAsia="Times New Roman" w:hAnsi="Aptos Narrow" w:cs="Times New Roman"/>
                <w:color w:val="000000"/>
                <w:kern w:val="0"/>
                <w:sz w:val="22"/>
                <w:szCs w:val="22"/>
                <w14:ligatures w14:val="none"/>
              </w:rPr>
            </w:pPr>
            <w:r w:rsidRPr="00574A05">
              <w:rPr>
                <w:rFonts w:ascii="Aptos Narrow" w:eastAsia="Times New Roman" w:hAnsi="Aptos Narrow" w:cs="Times New Roman"/>
                <w:color w:val="000000"/>
                <w:kern w:val="0"/>
                <w:sz w:val="22"/>
                <w:szCs w:val="22"/>
                <w14:ligatures w14:val="none"/>
              </w:rPr>
              <w:t>16.5%</w:t>
            </w:r>
          </w:p>
        </w:tc>
        <w:tc>
          <w:tcPr>
            <w:tcW w:w="1069" w:type="dxa"/>
            <w:tcBorders>
              <w:top w:val="nil"/>
              <w:left w:val="nil"/>
              <w:bottom w:val="single" w:sz="4" w:space="0" w:color="auto"/>
              <w:right w:val="nil"/>
            </w:tcBorders>
            <w:shd w:val="clear" w:color="auto" w:fill="D9D9D9" w:themeFill="background1" w:themeFillShade="D9"/>
            <w:noWrap/>
            <w:vAlign w:val="bottom"/>
            <w:hideMark/>
          </w:tcPr>
          <w:p w:rsidR="00574A05" w:rsidRPr="00574A05" w:rsidP="00574A05" w14:paraId="52AC0A0E" w14:textId="77777777">
            <w:pPr>
              <w:spacing w:after="0" w:line="240" w:lineRule="auto"/>
              <w:jc w:val="right"/>
              <w:rPr>
                <w:rFonts w:ascii="Calibri" w:eastAsia="Times New Roman" w:hAnsi="Calibri" w:cs="Calibri"/>
                <w:i/>
                <w:iCs/>
                <w:color w:val="0000FF"/>
                <w:kern w:val="0"/>
                <w:sz w:val="22"/>
                <w:szCs w:val="22"/>
                <w14:ligatures w14:val="none"/>
              </w:rPr>
            </w:pPr>
            <w:r w:rsidRPr="00574A05">
              <w:rPr>
                <w:rFonts w:ascii="Calibri" w:eastAsia="Times New Roman" w:hAnsi="Calibri" w:cs="Calibri"/>
                <w:i/>
                <w:iCs/>
                <w:color w:val="0000FF"/>
                <w:kern w:val="0"/>
                <w:sz w:val="22"/>
                <w:szCs w:val="22"/>
                <w14:ligatures w14:val="none"/>
              </w:rPr>
              <w:t>17.0%</w:t>
            </w:r>
          </w:p>
        </w:tc>
        <w:tc>
          <w:tcPr>
            <w:tcW w:w="1069" w:type="dxa"/>
            <w:tcBorders>
              <w:top w:val="nil"/>
              <w:left w:val="nil"/>
              <w:bottom w:val="single" w:sz="4" w:space="0" w:color="auto"/>
              <w:right w:val="nil"/>
            </w:tcBorders>
            <w:shd w:val="clear" w:color="auto" w:fill="D9D9D9" w:themeFill="background1" w:themeFillShade="D9"/>
            <w:noWrap/>
            <w:vAlign w:val="bottom"/>
            <w:hideMark/>
          </w:tcPr>
          <w:p w:rsidR="00574A05" w:rsidRPr="00574A05" w:rsidP="00574A05" w14:paraId="2D0A9BD2" w14:textId="77777777">
            <w:pPr>
              <w:spacing w:after="0" w:line="240" w:lineRule="auto"/>
              <w:jc w:val="right"/>
              <w:rPr>
                <w:rFonts w:ascii="Calibri" w:eastAsia="Times New Roman" w:hAnsi="Calibri" w:cs="Calibri"/>
                <w:i/>
                <w:iCs/>
                <w:color w:val="0000FF"/>
                <w:kern w:val="0"/>
                <w:sz w:val="22"/>
                <w:szCs w:val="22"/>
                <w14:ligatures w14:val="none"/>
              </w:rPr>
            </w:pPr>
            <w:r w:rsidRPr="00574A05">
              <w:rPr>
                <w:rFonts w:ascii="Calibri" w:eastAsia="Times New Roman" w:hAnsi="Calibri" w:cs="Calibri"/>
                <w:i/>
                <w:iCs/>
                <w:color w:val="0000FF"/>
                <w:kern w:val="0"/>
                <w:sz w:val="22"/>
                <w:szCs w:val="22"/>
                <w14:ligatures w14:val="none"/>
              </w:rPr>
              <w:t>15.2%</w:t>
            </w:r>
          </w:p>
        </w:tc>
        <w:tc>
          <w:tcPr>
            <w:tcW w:w="988" w:type="dxa"/>
            <w:tcBorders>
              <w:top w:val="nil"/>
              <w:left w:val="nil"/>
              <w:bottom w:val="nil"/>
              <w:right w:val="nil"/>
            </w:tcBorders>
            <w:noWrap/>
            <w:vAlign w:val="bottom"/>
            <w:hideMark/>
          </w:tcPr>
          <w:p w:rsidR="00574A05" w:rsidRPr="00574A05" w:rsidP="00574A05" w14:paraId="0B088DE0" w14:textId="77777777">
            <w:pPr>
              <w:spacing w:after="0" w:line="240" w:lineRule="auto"/>
              <w:jc w:val="right"/>
              <w:rPr>
                <w:rFonts w:ascii="Calibri" w:eastAsia="Times New Roman" w:hAnsi="Calibri" w:cs="Calibri"/>
                <w:i/>
                <w:iCs/>
                <w:color w:val="0000FF"/>
                <w:kern w:val="0"/>
                <w:sz w:val="22"/>
                <w:szCs w:val="22"/>
                <w14:ligatures w14:val="none"/>
              </w:rPr>
            </w:pPr>
          </w:p>
        </w:tc>
      </w:tr>
      <w:tr w14:paraId="4C4A3911" w14:textId="77777777" w:rsidTr="00E20882">
        <w:tblPrEx>
          <w:tblW w:w="13844" w:type="dxa"/>
          <w:tblLook w:val="04A0"/>
        </w:tblPrEx>
        <w:trPr>
          <w:trHeight w:val="291"/>
        </w:trPr>
        <w:tc>
          <w:tcPr>
            <w:tcW w:w="3690" w:type="dxa"/>
            <w:tcBorders>
              <w:top w:val="nil"/>
              <w:left w:val="nil"/>
              <w:bottom w:val="nil"/>
              <w:right w:val="nil"/>
            </w:tcBorders>
            <w:noWrap/>
            <w:vAlign w:val="bottom"/>
            <w:hideMark/>
          </w:tcPr>
          <w:p w:rsidR="00574A05" w:rsidRPr="00574A05" w:rsidP="00574A05" w14:paraId="067F1EE3" w14:textId="77777777">
            <w:pPr>
              <w:spacing w:after="0" w:line="240" w:lineRule="auto"/>
              <w:rPr>
                <w:rFonts w:ascii="Times New Roman" w:eastAsia="Times New Roman" w:hAnsi="Times New Roman" w:cs="Times New Roman"/>
                <w:kern w:val="0"/>
                <w:sz w:val="20"/>
                <w:szCs w:val="20"/>
                <w14:ligatures w14:val="none"/>
              </w:rPr>
            </w:pPr>
          </w:p>
        </w:tc>
        <w:tc>
          <w:tcPr>
            <w:tcW w:w="1255" w:type="dxa"/>
            <w:tcBorders>
              <w:top w:val="nil"/>
              <w:left w:val="nil"/>
              <w:bottom w:val="nil"/>
              <w:right w:val="nil"/>
            </w:tcBorders>
            <w:noWrap/>
            <w:vAlign w:val="bottom"/>
            <w:hideMark/>
          </w:tcPr>
          <w:p w:rsidR="00574A05" w:rsidRPr="00574A05" w:rsidP="00574A05" w14:paraId="55D0A522"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405BEBCF" w14:textId="77777777">
            <w:pPr>
              <w:spacing w:after="0" w:line="240" w:lineRule="auto"/>
              <w:rPr>
                <w:rFonts w:ascii="Times New Roman" w:eastAsia="Times New Roman" w:hAnsi="Times New Roman" w:cs="Times New Roman"/>
                <w:kern w:val="0"/>
                <w:sz w:val="20"/>
                <w:szCs w:val="20"/>
                <w14:ligatures w14:val="none"/>
              </w:rPr>
            </w:pPr>
          </w:p>
        </w:tc>
        <w:tc>
          <w:tcPr>
            <w:tcW w:w="1182" w:type="dxa"/>
            <w:tcBorders>
              <w:top w:val="nil"/>
              <w:left w:val="nil"/>
              <w:bottom w:val="nil"/>
              <w:right w:val="nil"/>
            </w:tcBorders>
            <w:noWrap/>
            <w:vAlign w:val="bottom"/>
            <w:hideMark/>
          </w:tcPr>
          <w:p w:rsidR="00574A05" w:rsidRPr="00574A05" w:rsidP="00574A05" w14:paraId="2172319A"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34E5ACC6"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6A21FAE0"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34A24023"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4F83539C"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7C2B59CA" w14:textId="77777777">
            <w:pPr>
              <w:spacing w:after="0" w:line="240" w:lineRule="auto"/>
              <w:rPr>
                <w:rFonts w:ascii="Times New Roman" w:eastAsia="Times New Roman" w:hAnsi="Times New Roman" w:cs="Times New Roman"/>
                <w:kern w:val="0"/>
                <w:sz w:val="20"/>
                <w:szCs w:val="20"/>
                <w14:ligatures w14:val="none"/>
              </w:rPr>
            </w:pPr>
          </w:p>
        </w:tc>
        <w:tc>
          <w:tcPr>
            <w:tcW w:w="988" w:type="dxa"/>
            <w:tcBorders>
              <w:top w:val="nil"/>
              <w:left w:val="nil"/>
              <w:bottom w:val="nil"/>
              <w:right w:val="nil"/>
            </w:tcBorders>
            <w:noWrap/>
            <w:vAlign w:val="bottom"/>
            <w:hideMark/>
          </w:tcPr>
          <w:p w:rsidR="00574A05" w:rsidRPr="00574A05" w:rsidP="00574A05" w14:paraId="26209D96" w14:textId="77777777">
            <w:pPr>
              <w:spacing w:after="0" w:line="240" w:lineRule="auto"/>
              <w:rPr>
                <w:rFonts w:ascii="Times New Roman" w:eastAsia="Times New Roman" w:hAnsi="Times New Roman" w:cs="Times New Roman"/>
                <w:kern w:val="0"/>
                <w:sz w:val="20"/>
                <w:szCs w:val="20"/>
                <w14:ligatures w14:val="none"/>
              </w:rPr>
            </w:pPr>
          </w:p>
        </w:tc>
      </w:tr>
      <w:tr w14:paraId="1952D420" w14:textId="77777777" w:rsidTr="00D12EA0">
        <w:tblPrEx>
          <w:tblW w:w="13844" w:type="dxa"/>
          <w:tblLook w:val="04A0"/>
        </w:tblPrEx>
        <w:trPr>
          <w:trHeight w:val="286"/>
        </w:trPr>
        <w:tc>
          <w:tcPr>
            <w:tcW w:w="12856" w:type="dxa"/>
            <w:gridSpan w:val="9"/>
            <w:tcBorders>
              <w:top w:val="nil"/>
              <w:left w:val="nil"/>
              <w:bottom w:val="nil"/>
              <w:right w:val="nil"/>
            </w:tcBorders>
            <w:noWrap/>
            <w:vAlign w:val="bottom"/>
            <w:hideMark/>
          </w:tcPr>
          <w:p w:rsidR="00E20882" w:rsidRPr="00574A05" w:rsidP="00574A05" w14:paraId="567C1625" w14:textId="77777777">
            <w:pPr>
              <w:spacing w:after="0" w:line="240" w:lineRule="auto"/>
              <w:rPr>
                <w:rFonts w:ascii="Times New Roman" w:eastAsia="Times New Roman" w:hAnsi="Times New Roman" w:cs="Times New Roman"/>
                <w:kern w:val="0"/>
                <w:sz w:val="20"/>
                <w:szCs w:val="20"/>
                <w14:ligatures w14:val="none"/>
              </w:rPr>
            </w:pPr>
            <w:r w:rsidRPr="00574A05">
              <w:rPr>
                <w:rFonts w:ascii="Aptos Narrow" w:eastAsia="Times New Roman" w:hAnsi="Aptos Narrow" w:cs="Times New Roman"/>
                <w:color w:val="000000"/>
                <w:kern w:val="0"/>
                <w:sz w:val="22"/>
                <w:szCs w:val="22"/>
                <w14:ligatures w14:val="none"/>
              </w:rPr>
              <w:t>source: Economic Impact of Elimination of Pennsylvania's Minimum Pricing System</w:t>
            </w:r>
            <w:r>
              <w:rPr>
                <w:rFonts w:ascii="Aptos Narrow" w:eastAsia="Times New Roman" w:hAnsi="Aptos Narrow" w:cs="Times New Roman"/>
                <w:color w:val="000000"/>
                <w:kern w:val="0"/>
                <w:sz w:val="22"/>
                <w:szCs w:val="22"/>
                <w14:ligatures w14:val="none"/>
              </w:rPr>
              <w:t>; USDA milk production</w:t>
            </w:r>
          </w:p>
        </w:tc>
        <w:tc>
          <w:tcPr>
            <w:tcW w:w="988" w:type="dxa"/>
            <w:tcBorders>
              <w:top w:val="nil"/>
              <w:left w:val="nil"/>
              <w:bottom w:val="nil"/>
              <w:right w:val="nil"/>
            </w:tcBorders>
            <w:noWrap/>
            <w:vAlign w:val="bottom"/>
            <w:hideMark/>
          </w:tcPr>
          <w:p w:rsidR="00E20882" w:rsidRPr="00574A05" w:rsidP="00574A05" w14:paraId="716A6287" w14:textId="77777777">
            <w:pPr>
              <w:spacing w:after="0" w:line="240" w:lineRule="auto"/>
              <w:rPr>
                <w:rFonts w:ascii="Times New Roman" w:eastAsia="Times New Roman" w:hAnsi="Times New Roman" w:cs="Times New Roman"/>
                <w:kern w:val="0"/>
                <w:sz w:val="20"/>
                <w:szCs w:val="20"/>
                <w14:ligatures w14:val="none"/>
              </w:rPr>
            </w:pPr>
          </w:p>
        </w:tc>
      </w:tr>
      <w:tr w14:paraId="582C219A" w14:textId="77777777" w:rsidTr="00E20882">
        <w:tblPrEx>
          <w:tblW w:w="13844" w:type="dxa"/>
          <w:tblLook w:val="04A0"/>
        </w:tblPrEx>
        <w:trPr>
          <w:trHeight w:val="291"/>
        </w:trPr>
        <w:tc>
          <w:tcPr>
            <w:tcW w:w="3690" w:type="dxa"/>
            <w:tcBorders>
              <w:top w:val="nil"/>
              <w:left w:val="nil"/>
              <w:bottom w:val="nil"/>
              <w:right w:val="nil"/>
            </w:tcBorders>
            <w:noWrap/>
            <w:vAlign w:val="bottom"/>
            <w:hideMark/>
          </w:tcPr>
          <w:p w:rsidR="00574A05" w:rsidRPr="00574A05" w:rsidP="00574A05" w14:paraId="19A08580" w14:textId="77777777">
            <w:pPr>
              <w:spacing w:after="0" w:line="240" w:lineRule="auto"/>
              <w:rPr>
                <w:rFonts w:ascii="Times New Roman" w:eastAsia="Times New Roman" w:hAnsi="Times New Roman" w:cs="Times New Roman"/>
                <w:kern w:val="0"/>
                <w:sz w:val="20"/>
                <w:szCs w:val="20"/>
                <w14:ligatures w14:val="none"/>
              </w:rPr>
            </w:pPr>
          </w:p>
        </w:tc>
        <w:tc>
          <w:tcPr>
            <w:tcW w:w="1255" w:type="dxa"/>
            <w:tcBorders>
              <w:top w:val="nil"/>
              <w:left w:val="nil"/>
              <w:bottom w:val="nil"/>
              <w:right w:val="nil"/>
            </w:tcBorders>
            <w:noWrap/>
            <w:vAlign w:val="bottom"/>
            <w:hideMark/>
          </w:tcPr>
          <w:p w:rsidR="00574A05" w:rsidRPr="00574A05" w:rsidP="00574A05" w14:paraId="3E2E49FB"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10D8EACB" w14:textId="77777777">
            <w:pPr>
              <w:spacing w:after="0" w:line="240" w:lineRule="auto"/>
              <w:rPr>
                <w:rFonts w:ascii="Times New Roman" w:eastAsia="Times New Roman" w:hAnsi="Times New Roman" w:cs="Times New Roman"/>
                <w:kern w:val="0"/>
                <w:sz w:val="20"/>
                <w:szCs w:val="20"/>
                <w14:ligatures w14:val="none"/>
              </w:rPr>
            </w:pPr>
          </w:p>
        </w:tc>
        <w:tc>
          <w:tcPr>
            <w:tcW w:w="1182" w:type="dxa"/>
            <w:tcBorders>
              <w:top w:val="nil"/>
              <w:left w:val="nil"/>
              <w:bottom w:val="nil"/>
              <w:right w:val="nil"/>
            </w:tcBorders>
            <w:noWrap/>
            <w:vAlign w:val="bottom"/>
            <w:hideMark/>
          </w:tcPr>
          <w:p w:rsidR="00574A05" w:rsidRPr="00574A05" w:rsidP="00574A05" w14:paraId="6CB42198"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5579B8BB" w14:textId="77777777">
            <w:pPr>
              <w:spacing w:after="0" w:line="240" w:lineRule="auto"/>
              <w:rPr>
                <w:rFonts w:ascii="Times New Roman" w:eastAsia="Times New Roman" w:hAnsi="Times New Roman" w:cs="Times New Roman"/>
                <w:kern w:val="0"/>
                <w:sz w:val="20"/>
                <w:szCs w:val="20"/>
                <w14:ligatures w14:val="none"/>
              </w:rPr>
            </w:pPr>
          </w:p>
        </w:tc>
        <w:tc>
          <w:tcPr>
            <w:tcW w:w="1174" w:type="dxa"/>
            <w:tcBorders>
              <w:top w:val="nil"/>
              <w:left w:val="nil"/>
              <w:bottom w:val="nil"/>
              <w:right w:val="nil"/>
            </w:tcBorders>
            <w:noWrap/>
            <w:vAlign w:val="bottom"/>
            <w:hideMark/>
          </w:tcPr>
          <w:p w:rsidR="00574A05" w:rsidRPr="00574A05" w:rsidP="00574A05" w14:paraId="39B0C928"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4E21DA99"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03CBFBF9" w14:textId="77777777">
            <w:pPr>
              <w:spacing w:after="0" w:line="240" w:lineRule="auto"/>
              <w:rPr>
                <w:rFonts w:ascii="Times New Roman" w:eastAsia="Times New Roman" w:hAnsi="Times New Roman" w:cs="Times New Roman"/>
                <w:kern w:val="0"/>
                <w:sz w:val="20"/>
                <w:szCs w:val="20"/>
                <w14:ligatures w14:val="none"/>
              </w:rPr>
            </w:pPr>
          </w:p>
        </w:tc>
        <w:tc>
          <w:tcPr>
            <w:tcW w:w="1069" w:type="dxa"/>
            <w:tcBorders>
              <w:top w:val="nil"/>
              <w:left w:val="nil"/>
              <w:bottom w:val="nil"/>
              <w:right w:val="nil"/>
            </w:tcBorders>
            <w:noWrap/>
            <w:vAlign w:val="bottom"/>
            <w:hideMark/>
          </w:tcPr>
          <w:p w:rsidR="00574A05" w:rsidRPr="00574A05" w:rsidP="00574A05" w14:paraId="438E3182" w14:textId="77777777">
            <w:pPr>
              <w:spacing w:after="0" w:line="240" w:lineRule="auto"/>
              <w:rPr>
                <w:rFonts w:ascii="Times New Roman" w:eastAsia="Times New Roman" w:hAnsi="Times New Roman" w:cs="Times New Roman"/>
                <w:kern w:val="0"/>
                <w:sz w:val="20"/>
                <w:szCs w:val="20"/>
                <w14:ligatures w14:val="none"/>
              </w:rPr>
            </w:pPr>
          </w:p>
        </w:tc>
        <w:tc>
          <w:tcPr>
            <w:tcW w:w="988" w:type="dxa"/>
            <w:tcBorders>
              <w:top w:val="nil"/>
              <w:left w:val="nil"/>
              <w:bottom w:val="nil"/>
              <w:right w:val="nil"/>
            </w:tcBorders>
            <w:noWrap/>
            <w:vAlign w:val="bottom"/>
            <w:hideMark/>
          </w:tcPr>
          <w:p w:rsidR="00574A05" w:rsidRPr="00574A05" w:rsidP="00574A05" w14:paraId="410E2EF4" w14:textId="77777777">
            <w:pPr>
              <w:spacing w:after="0" w:line="240" w:lineRule="auto"/>
              <w:rPr>
                <w:rFonts w:ascii="Times New Roman" w:eastAsia="Times New Roman" w:hAnsi="Times New Roman" w:cs="Times New Roman"/>
                <w:kern w:val="0"/>
                <w:sz w:val="20"/>
                <w:szCs w:val="20"/>
                <w14:ligatures w14:val="none"/>
              </w:rPr>
            </w:pPr>
          </w:p>
        </w:tc>
      </w:tr>
      <w:tr w14:paraId="4343A90B" w14:textId="77777777" w:rsidTr="00574A05">
        <w:tblPrEx>
          <w:tblW w:w="13844" w:type="dxa"/>
          <w:tblLook w:val="04A0"/>
        </w:tblPrEx>
        <w:trPr>
          <w:trHeight w:val="286"/>
        </w:trPr>
        <w:tc>
          <w:tcPr>
            <w:tcW w:w="13844" w:type="dxa"/>
            <w:gridSpan w:val="10"/>
            <w:tcBorders>
              <w:top w:val="nil"/>
              <w:left w:val="nil"/>
              <w:bottom w:val="nil"/>
              <w:right w:val="nil"/>
            </w:tcBorders>
            <w:noWrap/>
            <w:vAlign w:val="bottom"/>
            <w:hideMark/>
          </w:tcPr>
          <w:p w:rsidR="00E20882" w:rsidP="00574A05" w14:paraId="3011FE6B" w14:textId="77777777">
            <w:pPr>
              <w:spacing w:after="0" w:line="240" w:lineRule="auto"/>
              <w:rPr>
                <w:rFonts w:ascii="Cambria" w:eastAsia="Times New Roman" w:hAnsi="Cambria" w:cs="Times New Roman"/>
                <w:i/>
                <w:iCs/>
                <w:color w:val="555555"/>
                <w:kern w:val="0"/>
                <w:sz w:val="22"/>
                <w:szCs w:val="22"/>
                <w14:ligatures w14:val="none"/>
              </w:rPr>
            </w:pPr>
            <w:r w:rsidRPr="00574A05">
              <w:rPr>
                <w:rFonts w:ascii="Cambria" w:eastAsia="Times New Roman" w:hAnsi="Cambria" w:cs="Times New Roman"/>
                <w:i/>
                <w:iCs/>
                <w:color w:val="555555"/>
                <w:kern w:val="0"/>
                <w:sz w:val="22"/>
                <w:szCs w:val="22"/>
                <w14:ligatures w14:val="none"/>
              </w:rPr>
              <w:t xml:space="preserve">Note: 2023 and 2024 are forecasts derived from a linear trend (Excel TREND function) fitted to 2017-2022 actuals. </w:t>
            </w:r>
          </w:p>
          <w:p w:rsidR="00574A05" w:rsidRPr="00574A05" w:rsidP="00574A05" w14:paraId="3D5A10CF" w14:textId="77777777">
            <w:pPr>
              <w:spacing w:after="0" w:line="240" w:lineRule="auto"/>
              <w:rPr>
                <w:rFonts w:ascii="Cambria" w:eastAsia="Times New Roman" w:hAnsi="Cambria" w:cs="Times New Roman"/>
                <w:i/>
                <w:iCs/>
                <w:color w:val="555555"/>
                <w:kern w:val="0"/>
                <w:sz w:val="22"/>
                <w:szCs w:val="22"/>
                <w14:ligatures w14:val="none"/>
              </w:rPr>
            </w:pPr>
            <w:r w:rsidRPr="00574A05">
              <w:rPr>
                <w:rFonts w:ascii="Cambria" w:eastAsia="Times New Roman" w:hAnsi="Cambria" w:cs="Times New Roman"/>
                <w:i/>
                <w:iCs/>
                <w:color w:val="555555"/>
                <w:kern w:val="0"/>
                <w:sz w:val="22"/>
                <w:szCs w:val="22"/>
                <w14:ligatures w14:val="none"/>
              </w:rPr>
              <w:t>Forecast cells shown in blue italic with light-grey fill.</w:t>
            </w:r>
          </w:p>
        </w:tc>
      </w:tr>
    </w:tbl>
    <w:p w:rsidR="00574A05" w:rsidP="00454F34" w14:paraId="15B8EEA7" w14:textId="77777777">
      <w:pPr>
        <w:sectPr w:rsidSect="00574A05">
          <w:pgSz w:w="15840" w:h="12240" w:orient="landscape"/>
          <w:pgMar w:top="1440" w:right="1440" w:bottom="1440" w:left="1440" w:header="720" w:footer="720" w:gutter="0"/>
          <w:cols w:space="720"/>
          <w:docGrid w:linePitch="360"/>
        </w:sectPr>
      </w:pPr>
    </w:p>
    <w:p w:rsidR="00454F34" w:rsidP="00DB084B" w14:paraId="72A84678" w14:textId="77777777">
      <w:pPr>
        <w:pStyle w:val="Heading1"/>
      </w:pPr>
      <w:r>
        <w:t>Federal Order Changes</w:t>
      </w:r>
    </w:p>
    <w:p w:rsidR="004307BD" w:rsidP="00454F34" w14:paraId="3CA46693" w14:textId="77777777">
      <w:r>
        <w:t>After May 2025, the USDA implemented several changes to the federal milk marketing order rules with some impact on Pennsylvania.</w:t>
      </w:r>
      <w:r w:rsidR="003D613D">
        <w:t xml:space="preserve"> First, the return to the higher-of pricing versus average-of plus $0.74/cwt pricing was used to establish the Class I skim value. Since June 2025, the impact has averaged $0.22/cwt, ranging from -$0.69/cwt to </w:t>
      </w:r>
      <w:r w:rsidR="00DB084B">
        <w:t>+</w:t>
      </w:r>
      <w:r w:rsidR="003D613D">
        <w:t>$1.39/cwt.</w:t>
      </w:r>
    </w:p>
    <w:p w:rsidR="003D613D" w:rsidP="00454F34" w14:paraId="09FFEE59" w14:textId="77777777">
      <w:r>
        <w:t xml:space="preserve">The removal of barrel cheese from the National Dairy Product Sales Report (NDPSR) is inconclusive regarding its impact, as the CME spot barrel markets rarely trade, making an analysis of the impact highly speculative. It is noteworthy that since the June 2025 implementation, the CME Cheddar block market </w:t>
      </w:r>
      <w:r w:rsidR="00DB084B">
        <w:t>has traded nearly 6 cents below</w:t>
      </w:r>
      <w:r>
        <w:t xml:space="preserve"> the NDPSR cheese price</w:t>
      </w:r>
      <w:r w:rsidR="00DB084B">
        <w:t xml:space="preserve"> (June 2025 to April 2026 CME average $1.6045/lb; NDPSR $1.6636/lb), suggesting Cheddar barrels may have had some impact on the NDPSR cheese price. But the exact impact is difficult to ascertain, given exports and large cheese plant investments over the same span. </w:t>
      </w:r>
    </w:p>
    <w:p w:rsidR="00DB084B" w:rsidP="00454F34" w14:paraId="3A6770BF" w14:textId="77777777">
      <w:r>
        <w:t xml:space="preserve">Increasing the solids nonfat content of Class I skim milk has enhanced the value since its implementation. Recognition of the addition of 0.3 pounds of protein and other solids (9.0 solids nonfat was increased to 9.3 pounds of solids nonfat per hundred pounds of milk), especially in periods of higher solids in nonfat markets. </w:t>
      </w:r>
      <w:r w:rsidR="00E72063">
        <w:t>This was a delayed implementation that occurred in December 2025.</w:t>
      </w:r>
    </w:p>
    <w:p w:rsidR="00932D17" w:rsidP="00454F34" w14:paraId="2D5D33DE" w14:textId="77777777">
      <w:r>
        <w:t xml:space="preserve">The allowance </w:t>
      </w:r>
      <w:r w:rsidR="00FD0A12">
        <w:t>had the most straightforward impact on dairy producers' milk checks, as it resulted in</w:t>
      </w:r>
      <w:r>
        <w:t xml:space="preserve"> a net reduction.</w:t>
      </w:r>
      <w:r w:rsidR="00FD0A12">
        <w:t xml:space="preserve"> If the higher make allowance resulted in fewer </w:t>
      </w:r>
      <w:r w:rsidR="00F944EC">
        <w:t xml:space="preserve">milk check </w:t>
      </w:r>
      <w:r w:rsidR="00EE3BAB">
        <w:t>adjustments or “reblends,” the impact per dairy producer could be less than the absolute make allowance change,</w:t>
      </w:r>
      <w:r w:rsidR="00F944EC">
        <w:t xml:space="preserve"> as there may have been offsets.</w:t>
      </w:r>
    </w:p>
    <w:p w:rsidR="00080FE3" w14:paraId="6B9B9560" w14:textId="77777777">
      <w:r>
        <w:t xml:space="preserve">Changes to the Class I differential </w:t>
      </w:r>
      <w:r w:rsidR="007B5888">
        <w:t>have</w:t>
      </w:r>
      <w:r>
        <w:t xml:space="preserve"> the </w:t>
      </w:r>
      <w:r w:rsidR="007B5888">
        <w:t xml:space="preserve">greatest systemwide impact and surprised the industry when the first settlement month arrived. </w:t>
      </w:r>
    </w:p>
    <w:p w:rsidR="007B5888" w:rsidP="007B5888" w14:paraId="4ABE79E3" w14:textId="77777777">
      <w:pPr>
        <w:pStyle w:val="Heading2"/>
      </w:pPr>
      <w:r>
        <w:t>Location Differentials</w:t>
      </w:r>
    </w:p>
    <w:p w:rsidR="007B5888" w:rsidP="007B5888" w14:paraId="0856D69B" w14:textId="2A825E80">
      <w:r>
        <w:t xml:space="preserve">While industry and testimony during the hearing process focused on the need to increase </w:t>
      </w:r>
      <w:r w:rsidR="000C6662">
        <w:t>transportation reimbursement for dairy producers serving the Class I market, there was little discussion of</w:t>
      </w:r>
      <w:r w:rsidR="00AA26D8">
        <w:t xml:space="preserve"> the </w:t>
      </w:r>
      <w:r w:rsidR="000C6662">
        <w:t>monumental changes to the overall map</w:t>
      </w:r>
      <w:r w:rsidR="00664978">
        <w:t xml:space="preserve"> and their impact on processors and producers</w:t>
      </w:r>
      <w:r w:rsidR="000C6662">
        <w:t xml:space="preserve">. USDA engaged experts to </w:t>
      </w:r>
      <w:r w:rsidR="00C0161F">
        <w:t xml:space="preserve">modernize the differential map to reflect </w:t>
      </w:r>
      <w:r w:rsidR="00646140">
        <w:t>milk supply versus plant locations and the cost of serving the market</w:t>
      </w:r>
      <w:r w:rsidR="009D473C">
        <w:t xml:space="preserve">, but the changes went beyond </w:t>
      </w:r>
      <w:r w:rsidR="006C65F9">
        <w:t>reimbursing for the costs of serving</w:t>
      </w:r>
      <w:r w:rsidR="009D473C">
        <w:t xml:space="preserve"> </w:t>
      </w:r>
      <w:r w:rsidR="006C65F9">
        <w:t>Class I plants and ended up taking money from the Class I sector to fund</w:t>
      </w:r>
      <w:r w:rsidR="004122F1">
        <w:t xml:space="preserve"> the manufacturing sector.  My analysis of </w:t>
      </w:r>
      <w:r w:rsidR="004122F1">
        <w:t xml:space="preserve">PAMD member plants shows that many of their farmers are not receiving the full reimbursement – </w:t>
      </w:r>
      <w:r w:rsidRPr="004122F1" w:rsidR="004122F1">
        <w:rPr>
          <w:i/>
          <w:iCs/>
        </w:rPr>
        <w:t>i.e.</w:t>
      </w:r>
      <w:r w:rsidR="004122F1">
        <w:t xml:space="preserve">, Pennsylvania’s Class I producers in some areas are receiving less of the Class I differential than before FMMO change.   </w:t>
      </w:r>
    </w:p>
    <w:p w:rsidR="007D7008" w:rsidP="007B5888" w14:paraId="0673A352" w14:textId="77777777">
      <w:r>
        <w:t xml:space="preserve">The location differential discussions focused on the cost of service Class I facilities and the need to raise those costs. </w:t>
      </w:r>
      <w:r w:rsidR="00FE780C">
        <w:t>The map attempts to do this by recognizing population centers with fewer cows at higher rates than surplus counties with more milk than consumption</w:t>
      </w:r>
      <w:r w:rsidR="005F3FDB">
        <w:t>, meaning a bottling plant in Philadelphia could cost more to service than one in Lancaster.</w:t>
      </w:r>
      <w:r w:rsidR="00734275">
        <w:t xml:space="preserve"> That was reflected in the Philadelphia location differential moving to </w:t>
      </w:r>
      <w:r w:rsidR="00E421BE">
        <w:t>$4.60 fr</w:t>
      </w:r>
      <w:r w:rsidR="000173FB">
        <w:t>o</w:t>
      </w:r>
      <w:r w:rsidR="00E421BE">
        <w:t>m $3.05/cwt</w:t>
      </w:r>
      <w:r w:rsidR="004B2A21">
        <w:t xml:space="preserve"> (+31%) </w:t>
      </w:r>
      <w:r w:rsidR="00E421BE">
        <w:t>and Lancaster</w:t>
      </w:r>
      <w:r w:rsidR="00A97394">
        <w:t>,</w:t>
      </w:r>
      <w:r w:rsidR="00E421BE">
        <w:t xml:space="preserve"> </w:t>
      </w:r>
      <w:r w:rsidR="004B2A21">
        <w:t xml:space="preserve">$4.30 </w:t>
      </w:r>
      <w:r w:rsidR="000173FB">
        <w:t>from</w:t>
      </w:r>
      <w:r w:rsidR="004B2A21">
        <w:t xml:space="preserve"> $2.90</w:t>
      </w:r>
      <w:r w:rsidR="000173FB">
        <w:t xml:space="preserve"> (48%)</w:t>
      </w:r>
      <w:r w:rsidR="00A97394">
        <w:t>.</w:t>
      </w:r>
      <w:r w:rsidR="002F6202">
        <w:t xml:space="preserve"> So that means a Class I </w:t>
      </w:r>
      <w:r w:rsidR="00FD6962">
        <w:t xml:space="preserve">distribution plant </w:t>
      </w:r>
      <w:r w:rsidR="00092533">
        <w:t>in Philadelphia, PA</w:t>
      </w:r>
      <w:r w:rsidR="00953883">
        <w:t>,</w:t>
      </w:r>
      <w:r w:rsidR="00092533">
        <w:t xml:space="preserve"> </w:t>
      </w:r>
      <w:r w:rsidR="00FD6962">
        <w:t>would pay $4.60/cwt location adjustment, June 2025 forward.</w:t>
      </w:r>
    </w:p>
    <w:p w:rsidR="006C65F9" w:rsidP="007B5888" w14:paraId="2485B43F" w14:textId="77777777">
      <w:r>
        <w:t xml:space="preserve">However, there is a secondary application of the location differential: the zone </w:t>
      </w:r>
      <w:r w:rsidR="00FE77E9">
        <w:t>in which producers are located will also affect payments</w:t>
      </w:r>
      <w:r w:rsidR="00F76DF4">
        <w:t xml:space="preserve"> and obligations</w:t>
      </w:r>
      <w:r w:rsidR="00FE77E9">
        <w:t xml:space="preserve">. </w:t>
      </w:r>
      <w:r w:rsidR="00E72FED">
        <w:t xml:space="preserve">Unlike processor assessments, which apply only to distribution plants, producer location differentials apply to all pooled milk. </w:t>
      </w:r>
    </w:p>
    <w:p w:rsidR="00953883" w:rsidP="007B5888" w14:paraId="1D4D3E4F" w14:textId="2C04466E">
      <w:r>
        <w:t>To demonstrate, assume a bottling plant in Philadelphia buys milk from Lancaster County. Example 1 shows the charges to the Class I plant and payment obligation to the dairy producer based on current location differentials and February 2026 prices. Example 2 looks at February 2026 milk prices, but with the previous location differentials (those prior to June 2025).</w:t>
      </w:r>
    </w:p>
    <w:p w:rsidR="000C1B49" w:rsidP="007C5E92" w14:paraId="375C150C" w14:textId="77777777">
      <w:pPr>
        <w:pStyle w:val="Heading3"/>
      </w:pPr>
      <w:r>
        <w:t>Example 1. Processor Obligation</w:t>
      </w:r>
      <w:r w:rsidR="0052551E">
        <w:t xml:space="preserve"> for one-hundred pounds of Class I milk only</w:t>
      </w:r>
    </w:p>
    <w:tbl>
      <w:tblPr>
        <w:tblStyle w:val="TableGrid"/>
        <w:tblW w:w="0" w:type="auto"/>
        <w:tblLook w:val="04A0"/>
      </w:tblPr>
      <w:tblGrid>
        <w:gridCol w:w="3955"/>
        <w:gridCol w:w="1440"/>
        <w:gridCol w:w="1530"/>
        <w:gridCol w:w="2160"/>
      </w:tblGrid>
      <w:tr w14:paraId="0704F796" w14:textId="77777777" w:rsidTr="00C73127">
        <w:tblPrEx>
          <w:tblW w:w="0" w:type="auto"/>
          <w:tblLook w:val="04A0"/>
        </w:tblPrEx>
        <w:tc>
          <w:tcPr>
            <w:tcW w:w="3955" w:type="dxa"/>
          </w:tcPr>
          <w:p w:rsidR="007A22A6" w:rsidP="007B5888" w14:paraId="62A0379D" w14:textId="77777777">
            <w:r>
              <w:t>February 2026</w:t>
            </w:r>
          </w:p>
        </w:tc>
        <w:tc>
          <w:tcPr>
            <w:tcW w:w="1440" w:type="dxa"/>
          </w:tcPr>
          <w:p w:rsidR="007A22A6" w:rsidP="007B5888" w14:paraId="37825C1A" w14:textId="77777777">
            <w:r>
              <w:t>Pounds</w:t>
            </w:r>
          </w:p>
        </w:tc>
        <w:tc>
          <w:tcPr>
            <w:tcW w:w="1530" w:type="dxa"/>
          </w:tcPr>
          <w:p w:rsidR="007A22A6" w:rsidP="007B5888" w14:paraId="1F1411A9" w14:textId="77777777">
            <w:r>
              <w:t>Rate</w:t>
            </w:r>
          </w:p>
        </w:tc>
        <w:tc>
          <w:tcPr>
            <w:tcW w:w="2160" w:type="dxa"/>
          </w:tcPr>
          <w:p w:rsidR="007A22A6" w:rsidP="007B5888" w14:paraId="5FF64D6B" w14:textId="77777777">
            <w:r>
              <w:t>Extended</w:t>
            </w:r>
          </w:p>
        </w:tc>
      </w:tr>
      <w:tr w14:paraId="2E823DB2" w14:textId="77777777" w:rsidTr="00C73127">
        <w:tblPrEx>
          <w:tblW w:w="0" w:type="auto"/>
          <w:tblLook w:val="04A0"/>
        </w:tblPrEx>
        <w:tc>
          <w:tcPr>
            <w:tcW w:w="3955" w:type="dxa"/>
          </w:tcPr>
          <w:p w:rsidR="007A22A6" w:rsidP="007B5888" w14:paraId="649AF6AE" w14:textId="77777777">
            <w:r>
              <w:t>Class I Skim</w:t>
            </w:r>
          </w:p>
        </w:tc>
        <w:tc>
          <w:tcPr>
            <w:tcW w:w="1440" w:type="dxa"/>
          </w:tcPr>
          <w:p w:rsidR="007A22A6" w:rsidP="007A22A6" w14:paraId="27F64C1A" w14:textId="77777777">
            <w:pPr>
              <w:jc w:val="center"/>
            </w:pPr>
            <w:r>
              <w:t>96.5</w:t>
            </w:r>
          </w:p>
        </w:tc>
        <w:tc>
          <w:tcPr>
            <w:tcW w:w="1530" w:type="dxa"/>
          </w:tcPr>
          <w:p w:rsidR="007A22A6" w:rsidP="007A22A6" w14:paraId="2ED24196" w14:textId="77777777">
            <w:pPr>
              <w:jc w:val="center"/>
            </w:pPr>
            <w:r>
              <w:t>$9.99 /cwt</w:t>
            </w:r>
          </w:p>
        </w:tc>
        <w:tc>
          <w:tcPr>
            <w:tcW w:w="2160" w:type="dxa"/>
          </w:tcPr>
          <w:p w:rsidR="007A22A6" w:rsidP="007A22A6" w14:paraId="532ADD8D" w14:textId="77777777">
            <w:pPr>
              <w:jc w:val="center"/>
            </w:pPr>
            <w:r>
              <w:t>$9.64</w:t>
            </w:r>
          </w:p>
        </w:tc>
      </w:tr>
      <w:tr w14:paraId="5EDC8C3B" w14:textId="77777777" w:rsidTr="00C73127">
        <w:tblPrEx>
          <w:tblW w:w="0" w:type="auto"/>
          <w:tblLook w:val="04A0"/>
        </w:tblPrEx>
        <w:tc>
          <w:tcPr>
            <w:tcW w:w="3955" w:type="dxa"/>
          </w:tcPr>
          <w:p w:rsidR="007A22A6" w:rsidP="007B5888" w14:paraId="5585967A" w14:textId="77777777">
            <w:r>
              <w:t>Class I Butterfat</w:t>
            </w:r>
          </w:p>
        </w:tc>
        <w:tc>
          <w:tcPr>
            <w:tcW w:w="1440" w:type="dxa"/>
          </w:tcPr>
          <w:p w:rsidR="007A22A6" w:rsidP="007A22A6" w14:paraId="00EAA4BC" w14:textId="77777777">
            <w:pPr>
              <w:jc w:val="center"/>
            </w:pPr>
            <w:r>
              <w:t>3.5</w:t>
            </w:r>
          </w:p>
        </w:tc>
        <w:tc>
          <w:tcPr>
            <w:tcW w:w="1530" w:type="dxa"/>
          </w:tcPr>
          <w:p w:rsidR="007A22A6" w:rsidP="007A22A6" w14:paraId="44BE6EAD" w14:textId="77777777">
            <w:pPr>
              <w:jc w:val="center"/>
            </w:pPr>
            <w:r>
              <w:t>$1.4446/lb</w:t>
            </w:r>
          </w:p>
        </w:tc>
        <w:tc>
          <w:tcPr>
            <w:tcW w:w="2160" w:type="dxa"/>
          </w:tcPr>
          <w:p w:rsidR="007A22A6" w:rsidP="007A22A6" w14:paraId="58A8CD65" w14:textId="77777777">
            <w:pPr>
              <w:jc w:val="center"/>
            </w:pPr>
            <w:r>
              <w:t>$5.05</w:t>
            </w:r>
          </w:p>
        </w:tc>
      </w:tr>
      <w:tr w14:paraId="3140B46F" w14:textId="77777777" w:rsidTr="00C73127">
        <w:tblPrEx>
          <w:tblW w:w="0" w:type="auto"/>
          <w:tblLook w:val="04A0"/>
        </w:tblPrEx>
        <w:tc>
          <w:tcPr>
            <w:tcW w:w="3955" w:type="dxa"/>
          </w:tcPr>
          <w:p w:rsidR="007A22A6" w:rsidP="007B5888" w14:paraId="4DFCACE4" w14:textId="77777777">
            <w:r>
              <w:t>Class I differential @ location</w:t>
            </w:r>
          </w:p>
        </w:tc>
        <w:tc>
          <w:tcPr>
            <w:tcW w:w="1440" w:type="dxa"/>
          </w:tcPr>
          <w:p w:rsidR="007A22A6" w:rsidP="007A22A6" w14:paraId="71819186" w14:textId="77777777">
            <w:pPr>
              <w:jc w:val="center"/>
            </w:pPr>
          </w:p>
        </w:tc>
        <w:tc>
          <w:tcPr>
            <w:tcW w:w="1530" w:type="dxa"/>
          </w:tcPr>
          <w:p w:rsidR="007A22A6" w:rsidP="007A22A6" w14:paraId="12B8B4B3" w14:textId="77777777">
            <w:pPr>
              <w:jc w:val="center"/>
            </w:pPr>
            <w:r>
              <w:t>$4.60</w:t>
            </w:r>
          </w:p>
        </w:tc>
        <w:tc>
          <w:tcPr>
            <w:tcW w:w="2160" w:type="dxa"/>
          </w:tcPr>
          <w:p w:rsidR="007A22A6" w:rsidP="007A22A6" w14:paraId="52F8E39C" w14:textId="77777777">
            <w:pPr>
              <w:jc w:val="center"/>
            </w:pPr>
            <w:r>
              <w:t>$4.60</w:t>
            </w:r>
          </w:p>
        </w:tc>
      </w:tr>
      <w:tr w14:paraId="6A3AB0A2" w14:textId="77777777" w:rsidTr="00C73127">
        <w:tblPrEx>
          <w:tblW w:w="0" w:type="auto"/>
          <w:tblLook w:val="04A0"/>
        </w:tblPrEx>
        <w:tc>
          <w:tcPr>
            <w:tcW w:w="3955" w:type="dxa"/>
          </w:tcPr>
          <w:p w:rsidR="007A62B7" w:rsidP="007B5888" w14:paraId="1A56DB38" w14:textId="77777777">
            <w:r>
              <w:t>Total Producer Milk</w:t>
            </w:r>
          </w:p>
        </w:tc>
        <w:tc>
          <w:tcPr>
            <w:tcW w:w="1440" w:type="dxa"/>
          </w:tcPr>
          <w:p w:rsidR="007A62B7" w:rsidP="007A22A6" w14:paraId="1124C578" w14:textId="77777777">
            <w:pPr>
              <w:jc w:val="center"/>
            </w:pPr>
            <w:r>
              <w:t>100</w:t>
            </w:r>
          </w:p>
        </w:tc>
        <w:tc>
          <w:tcPr>
            <w:tcW w:w="1530" w:type="dxa"/>
          </w:tcPr>
          <w:p w:rsidR="007A62B7" w:rsidP="007A22A6" w14:paraId="4AB84311" w14:textId="77777777">
            <w:pPr>
              <w:jc w:val="center"/>
            </w:pPr>
          </w:p>
        </w:tc>
        <w:tc>
          <w:tcPr>
            <w:tcW w:w="2160" w:type="dxa"/>
          </w:tcPr>
          <w:p w:rsidR="007A62B7" w:rsidP="007A22A6" w14:paraId="19F1BF0A" w14:textId="77777777">
            <w:pPr>
              <w:jc w:val="center"/>
            </w:pPr>
            <w:r>
              <w:t>$19.29</w:t>
            </w:r>
          </w:p>
        </w:tc>
      </w:tr>
      <w:tr w14:paraId="7C4601CE" w14:textId="77777777" w:rsidTr="00C73127">
        <w:tblPrEx>
          <w:tblW w:w="0" w:type="auto"/>
          <w:tblLook w:val="04A0"/>
        </w:tblPrEx>
        <w:tc>
          <w:tcPr>
            <w:tcW w:w="3955" w:type="dxa"/>
          </w:tcPr>
          <w:p w:rsidR="00D53BA2" w:rsidP="007B5888" w14:paraId="6897140F" w14:textId="77777777"/>
        </w:tc>
        <w:tc>
          <w:tcPr>
            <w:tcW w:w="1440" w:type="dxa"/>
          </w:tcPr>
          <w:p w:rsidR="00D53BA2" w:rsidP="007A22A6" w14:paraId="06E98228" w14:textId="77777777">
            <w:pPr>
              <w:jc w:val="center"/>
            </w:pPr>
          </w:p>
        </w:tc>
        <w:tc>
          <w:tcPr>
            <w:tcW w:w="1530" w:type="dxa"/>
          </w:tcPr>
          <w:p w:rsidR="00D53BA2" w:rsidP="007A22A6" w14:paraId="4732F1ED" w14:textId="77777777">
            <w:pPr>
              <w:jc w:val="center"/>
            </w:pPr>
          </w:p>
        </w:tc>
        <w:tc>
          <w:tcPr>
            <w:tcW w:w="2160" w:type="dxa"/>
          </w:tcPr>
          <w:p w:rsidR="00D53BA2" w:rsidP="007A22A6" w14:paraId="0877F02F" w14:textId="77777777">
            <w:pPr>
              <w:jc w:val="center"/>
            </w:pPr>
          </w:p>
        </w:tc>
      </w:tr>
      <w:tr w14:paraId="681A9483" w14:textId="77777777" w:rsidTr="00C73127">
        <w:tblPrEx>
          <w:tblW w:w="0" w:type="auto"/>
          <w:tblLook w:val="04A0"/>
        </w:tblPrEx>
        <w:tc>
          <w:tcPr>
            <w:tcW w:w="3955" w:type="dxa"/>
          </w:tcPr>
          <w:p w:rsidR="007A62B7" w:rsidP="007B5888" w14:paraId="24C027A9" w14:textId="77777777">
            <w:r>
              <w:t>Producer lbs x Producer Differential</w:t>
            </w:r>
          </w:p>
        </w:tc>
        <w:tc>
          <w:tcPr>
            <w:tcW w:w="1440" w:type="dxa"/>
          </w:tcPr>
          <w:p w:rsidR="007A62B7" w:rsidP="007A22A6" w14:paraId="7ABE408E" w14:textId="77777777">
            <w:pPr>
              <w:jc w:val="center"/>
            </w:pPr>
            <w:r>
              <w:t>100</w:t>
            </w:r>
          </w:p>
        </w:tc>
        <w:tc>
          <w:tcPr>
            <w:tcW w:w="1530" w:type="dxa"/>
          </w:tcPr>
          <w:p w:rsidR="007A62B7" w:rsidP="007A22A6" w14:paraId="6FBF7055" w14:textId="77777777">
            <w:pPr>
              <w:jc w:val="center"/>
            </w:pPr>
            <w:r>
              <w:t>$</w:t>
            </w:r>
            <w:r w:rsidR="00336052">
              <w:t>2.37</w:t>
            </w:r>
            <w:r>
              <w:t>/cwt</w:t>
            </w:r>
          </w:p>
        </w:tc>
        <w:tc>
          <w:tcPr>
            <w:tcW w:w="2160" w:type="dxa"/>
          </w:tcPr>
          <w:p w:rsidR="007A62B7" w:rsidP="007A22A6" w14:paraId="1E456AB0" w14:textId="77777777">
            <w:pPr>
              <w:jc w:val="center"/>
            </w:pPr>
            <w:r>
              <w:t>$</w:t>
            </w:r>
            <w:r w:rsidR="00336052">
              <w:t>2.37</w:t>
            </w:r>
          </w:p>
        </w:tc>
      </w:tr>
      <w:tr w14:paraId="56F2FD42" w14:textId="77777777" w:rsidTr="00C73127">
        <w:tblPrEx>
          <w:tblW w:w="0" w:type="auto"/>
          <w:tblLook w:val="04A0"/>
        </w:tblPrEx>
        <w:tc>
          <w:tcPr>
            <w:tcW w:w="3955" w:type="dxa"/>
          </w:tcPr>
          <w:p w:rsidR="007A62B7" w:rsidP="007B5888" w14:paraId="5EC056BB" w14:textId="77777777">
            <w:r>
              <w:t>Butterfat x Butterfat Price</w:t>
            </w:r>
          </w:p>
        </w:tc>
        <w:tc>
          <w:tcPr>
            <w:tcW w:w="1440" w:type="dxa"/>
          </w:tcPr>
          <w:p w:rsidR="007A62B7" w:rsidP="007A22A6" w14:paraId="13CC286A" w14:textId="77777777">
            <w:pPr>
              <w:jc w:val="center"/>
            </w:pPr>
            <w:r>
              <w:t>3.5</w:t>
            </w:r>
          </w:p>
        </w:tc>
        <w:tc>
          <w:tcPr>
            <w:tcW w:w="1530" w:type="dxa"/>
          </w:tcPr>
          <w:p w:rsidR="007A62B7" w:rsidP="007A22A6" w14:paraId="1A37343D" w14:textId="77777777">
            <w:pPr>
              <w:jc w:val="center"/>
            </w:pPr>
            <w:r>
              <w:t>$1.7794</w:t>
            </w:r>
          </w:p>
        </w:tc>
        <w:tc>
          <w:tcPr>
            <w:tcW w:w="2160" w:type="dxa"/>
          </w:tcPr>
          <w:p w:rsidR="007A62B7" w:rsidP="007A22A6" w14:paraId="52DBD7CF" w14:textId="77777777">
            <w:pPr>
              <w:jc w:val="center"/>
            </w:pPr>
            <w:r>
              <w:t>$6.23</w:t>
            </w:r>
          </w:p>
        </w:tc>
      </w:tr>
      <w:tr w14:paraId="71E60563" w14:textId="77777777" w:rsidTr="00C73127">
        <w:tblPrEx>
          <w:tblW w:w="0" w:type="auto"/>
          <w:tblLook w:val="04A0"/>
        </w:tblPrEx>
        <w:tc>
          <w:tcPr>
            <w:tcW w:w="3955" w:type="dxa"/>
          </w:tcPr>
          <w:p w:rsidR="00D53BA2" w:rsidP="007B5888" w14:paraId="42EABDBE" w14:textId="77777777">
            <w:r>
              <w:t>Protein x Protein Price</w:t>
            </w:r>
          </w:p>
        </w:tc>
        <w:tc>
          <w:tcPr>
            <w:tcW w:w="1440" w:type="dxa"/>
          </w:tcPr>
          <w:p w:rsidR="00D53BA2" w:rsidP="007A22A6" w14:paraId="427E0A06" w14:textId="77777777">
            <w:pPr>
              <w:jc w:val="center"/>
            </w:pPr>
            <w:r>
              <w:t>3.3</w:t>
            </w:r>
          </w:p>
        </w:tc>
        <w:tc>
          <w:tcPr>
            <w:tcW w:w="1530" w:type="dxa"/>
          </w:tcPr>
          <w:p w:rsidR="00D53BA2" w:rsidP="007A22A6" w14:paraId="78536683" w14:textId="77777777">
            <w:pPr>
              <w:jc w:val="center"/>
            </w:pPr>
            <w:r>
              <w:t>$1.9373</w:t>
            </w:r>
          </w:p>
        </w:tc>
        <w:tc>
          <w:tcPr>
            <w:tcW w:w="2160" w:type="dxa"/>
          </w:tcPr>
          <w:p w:rsidR="00D53BA2" w:rsidP="007A22A6" w14:paraId="3290A3BB" w14:textId="77777777">
            <w:pPr>
              <w:jc w:val="center"/>
            </w:pPr>
            <w:r>
              <w:t>$6.39</w:t>
            </w:r>
          </w:p>
        </w:tc>
      </w:tr>
      <w:tr w14:paraId="7298706B" w14:textId="77777777" w:rsidTr="00C73127">
        <w:tblPrEx>
          <w:tblW w:w="0" w:type="auto"/>
          <w:tblLook w:val="04A0"/>
        </w:tblPrEx>
        <w:tc>
          <w:tcPr>
            <w:tcW w:w="3955" w:type="dxa"/>
          </w:tcPr>
          <w:p w:rsidR="00D53BA2" w:rsidP="007B5888" w14:paraId="2069999B" w14:textId="77777777">
            <w:r>
              <w:t>Other Solids x Other Solids Price</w:t>
            </w:r>
          </w:p>
        </w:tc>
        <w:tc>
          <w:tcPr>
            <w:tcW w:w="1440" w:type="dxa"/>
          </w:tcPr>
          <w:p w:rsidR="00D53BA2" w:rsidP="007A22A6" w14:paraId="0E36A5DB" w14:textId="77777777">
            <w:pPr>
              <w:jc w:val="center"/>
            </w:pPr>
            <w:r>
              <w:t>6.0</w:t>
            </w:r>
          </w:p>
        </w:tc>
        <w:tc>
          <w:tcPr>
            <w:tcW w:w="1530" w:type="dxa"/>
          </w:tcPr>
          <w:p w:rsidR="00D53BA2" w:rsidP="007A22A6" w14:paraId="61856E2A" w14:textId="77777777">
            <w:pPr>
              <w:jc w:val="center"/>
            </w:pPr>
            <w:r>
              <w:t>$0.4391</w:t>
            </w:r>
          </w:p>
        </w:tc>
        <w:tc>
          <w:tcPr>
            <w:tcW w:w="2160" w:type="dxa"/>
          </w:tcPr>
          <w:p w:rsidR="00D53BA2" w:rsidP="007A22A6" w14:paraId="56E03685" w14:textId="77777777">
            <w:pPr>
              <w:jc w:val="center"/>
            </w:pPr>
            <w:r>
              <w:t>$2.63</w:t>
            </w:r>
          </w:p>
        </w:tc>
      </w:tr>
      <w:tr w14:paraId="38AE067F" w14:textId="77777777" w:rsidTr="00C73127">
        <w:tblPrEx>
          <w:tblW w:w="0" w:type="auto"/>
          <w:tblLook w:val="04A0"/>
        </w:tblPrEx>
        <w:tc>
          <w:tcPr>
            <w:tcW w:w="3955" w:type="dxa"/>
          </w:tcPr>
          <w:p w:rsidR="00D53BA2" w:rsidP="007B5888" w14:paraId="5D1DAC7C" w14:textId="77777777">
            <w:r>
              <w:t>Location Adjustment</w:t>
            </w:r>
          </w:p>
        </w:tc>
        <w:tc>
          <w:tcPr>
            <w:tcW w:w="1440" w:type="dxa"/>
          </w:tcPr>
          <w:p w:rsidR="00D53BA2" w:rsidP="007A22A6" w14:paraId="566EF560" w14:textId="77777777">
            <w:pPr>
              <w:jc w:val="center"/>
            </w:pPr>
            <w:r>
              <w:t>100</w:t>
            </w:r>
          </w:p>
        </w:tc>
        <w:tc>
          <w:tcPr>
            <w:tcW w:w="1530" w:type="dxa"/>
          </w:tcPr>
          <w:p w:rsidR="00D53BA2" w:rsidP="007A22A6" w14:paraId="79C84607" w14:textId="77777777">
            <w:pPr>
              <w:jc w:val="center"/>
            </w:pPr>
            <w:r>
              <w:t>-$</w:t>
            </w:r>
            <w:r w:rsidR="000A5F59">
              <w:t>0.</w:t>
            </w:r>
            <w:r w:rsidR="00452B16">
              <w:t>8</w:t>
            </w:r>
            <w:r w:rsidR="000A5F59">
              <w:t>0</w:t>
            </w:r>
          </w:p>
        </w:tc>
        <w:tc>
          <w:tcPr>
            <w:tcW w:w="2160" w:type="dxa"/>
          </w:tcPr>
          <w:p w:rsidR="00D53BA2" w:rsidP="007A22A6" w14:paraId="133378CD" w14:textId="77777777">
            <w:pPr>
              <w:jc w:val="center"/>
            </w:pPr>
            <w:r>
              <w:t>-$0.</w:t>
            </w:r>
            <w:r w:rsidR="007A1F21">
              <w:t>8</w:t>
            </w:r>
            <w:r>
              <w:t>0</w:t>
            </w:r>
          </w:p>
        </w:tc>
      </w:tr>
      <w:tr w14:paraId="211AF3DE" w14:textId="77777777" w:rsidTr="00C73127">
        <w:tblPrEx>
          <w:tblW w:w="0" w:type="auto"/>
          <w:tblLook w:val="04A0"/>
        </w:tblPrEx>
        <w:tc>
          <w:tcPr>
            <w:tcW w:w="3955" w:type="dxa"/>
          </w:tcPr>
          <w:p w:rsidR="00D53BA2" w:rsidP="007B5888" w14:paraId="073C0E8E" w14:textId="77777777">
            <w:r>
              <w:t>Credits to Handler</w:t>
            </w:r>
          </w:p>
        </w:tc>
        <w:tc>
          <w:tcPr>
            <w:tcW w:w="1440" w:type="dxa"/>
          </w:tcPr>
          <w:p w:rsidR="00D53BA2" w:rsidP="007A22A6" w14:paraId="26071DF4" w14:textId="77777777">
            <w:pPr>
              <w:jc w:val="center"/>
            </w:pPr>
          </w:p>
        </w:tc>
        <w:tc>
          <w:tcPr>
            <w:tcW w:w="1530" w:type="dxa"/>
          </w:tcPr>
          <w:p w:rsidR="00D53BA2" w:rsidP="007A22A6" w14:paraId="7A14CE3D" w14:textId="77777777">
            <w:pPr>
              <w:jc w:val="center"/>
            </w:pPr>
          </w:p>
        </w:tc>
        <w:tc>
          <w:tcPr>
            <w:tcW w:w="2160" w:type="dxa"/>
          </w:tcPr>
          <w:p w:rsidR="00D53BA2" w:rsidP="007A22A6" w14:paraId="0B38E7A2" w14:textId="77777777">
            <w:pPr>
              <w:jc w:val="center"/>
            </w:pPr>
            <w:r>
              <w:t>$</w:t>
            </w:r>
            <w:r w:rsidR="007A1F21">
              <w:t>16.82</w:t>
            </w:r>
          </w:p>
        </w:tc>
      </w:tr>
      <w:tr w14:paraId="5448676F" w14:textId="77777777" w:rsidTr="00C73127">
        <w:tblPrEx>
          <w:tblW w:w="0" w:type="auto"/>
          <w:tblLook w:val="04A0"/>
        </w:tblPrEx>
        <w:tc>
          <w:tcPr>
            <w:tcW w:w="3955" w:type="dxa"/>
          </w:tcPr>
          <w:p w:rsidR="00D53BA2" w:rsidP="007B5888" w14:paraId="220A401A" w14:textId="77777777"/>
        </w:tc>
        <w:tc>
          <w:tcPr>
            <w:tcW w:w="1440" w:type="dxa"/>
          </w:tcPr>
          <w:p w:rsidR="00D53BA2" w:rsidP="007A22A6" w14:paraId="7E49DE9D" w14:textId="77777777">
            <w:pPr>
              <w:jc w:val="center"/>
            </w:pPr>
          </w:p>
        </w:tc>
        <w:tc>
          <w:tcPr>
            <w:tcW w:w="1530" w:type="dxa"/>
          </w:tcPr>
          <w:p w:rsidR="00D53BA2" w:rsidP="007A22A6" w14:paraId="72EE1D93" w14:textId="77777777">
            <w:pPr>
              <w:jc w:val="center"/>
            </w:pPr>
          </w:p>
        </w:tc>
        <w:tc>
          <w:tcPr>
            <w:tcW w:w="2160" w:type="dxa"/>
          </w:tcPr>
          <w:p w:rsidR="00D53BA2" w:rsidP="007A22A6" w14:paraId="33F18A03" w14:textId="77777777">
            <w:pPr>
              <w:jc w:val="center"/>
            </w:pPr>
          </w:p>
        </w:tc>
      </w:tr>
      <w:tr w14:paraId="0FF9B697" w14:textId="77777777" w:rsidTr="00C73127">
        <w:tblPrEx>
          <w:tblW w:w="0" w:type="auto"/>
          <w:tblLook w:val="04A0"/>
        </w:tblPrEx>
        <w:tc>
          <w:tcPr>
            <w:tcW w:w="3955" w:type="dxa"/>
          </w:tcPr>
          <w:p w:rsidR="007A1F21" w:rsidP="007B5888" w14:paraId="78B4FF10" w14:textId="77777777">
            <w:r>
              <w:t>Payment to the settlement fund</w:t>
            </w:r>
          </w:p>
        </w:tc>
        <w:tc>
          <w:tcPr>
            <w:tcW w:w="1440" w:type="dxa"/>
          </w:tcPr>
          <w:p w:rsidR="007A1F21" w:rsidP="007A22A6" w14:paraId="52A9FEAD" w14:textId="77777777">
            <w:pPr>
              <w:jc w:val="center"/>
            </w:pPr>
          </w:p>
        </w:tc>
        <w:tc>
          <w:tcPr>
            <w:tcW w:w="1530" w:type="dxa"/>
          </w:tcPr>
          <w:p w:rsidR="007A1F21" w:rsidP="007A22A6" w14:paraId="5E9C020C" w14:textId="77777777">
            <w:pPr>
              <w:jc w:val="center"/>
            </w:pPr>
          </w:p>
        </w:tc>
        <w:tc>
          <w:tcPr>
            <w:tcW w:w="2160" w:type="dxa"/>
          </w:tcPr>
          <w:p w:rsidR="007A1F21" w:rsidP="007A22A6" w14:paraId="22075FFA" w14:textId="77777777">
            <w:pPr>
              <w:jc w:val="center"/>
            </w:pPr>
            <w:r>
              <w:t>$2.47</w:t>
            </w:r>
          </w:p>
        </w:tc>
      </w:tr>
    </w:tbl>
    <w:p w:rsidR="006A5B7E" w:rsidP="007B5888" w14:paraId="79DE7E3E" w14:textId="77777777"/>
    <w:p w:rsidR="006C65F9" w:rsidP="006C65F9" w14:paraId="200E9562" w14:textId="77777777">
      <w:pPr>
        <w:pStyle w:val="Heading3"/>
      </w:pPr>
      <w:r>
        <w:t>Example 2. Based on Location Differentials before June 2025</w:t>
      </w:r>
    </w:p>
    <w:tbl>
      <w:tblPr>
        <w:tblStyle w:val="TableGrid"/>
        <w:tblW w:w="0" w:type="auto"/>
        <w:tblLook w:val="04A0"/>
      </w:tblPr>
      <w:tblGrid>
        <w:gridCol w:w="3955"/>
        <w:gridCol w:w="1440"/>
        <w:gridCol w:w="1530"/>
        <w:gridCol w:w="2160"/>
      </w:tblGrid>
      <w:tr w14:paraId="2385D58B" w14:textId="77777777" w:rsidTr="00A253D3">
        <w:tblPrEx>
          <w:tblW w:w="0" w:type="auto"/>
          <w:tblLook w:val="04A0"/>
        </w:tblPrEx>
        <w:tc>
          <w:tcPr>
            <w:tcW w:w="3955" w:type="dxa"/>
          </w:tcPr>
          <w:p w:rsidR="006C65F9" w:rsidP="00A253D3" w14:paraId="6A85825A" w14:textId="77777777">
            <w:r>
              <w:t>February 2026</w:t>
            </w:r>
          </w:p>
        </w:tc>
        <w:tc>
          <w:tcPr>
            <w:tcW w:w="1440" w:type="dxa"/>
          </w:tcPr>
          <w:p w:rsidR="006C65F9" w:rsidP="00A253D3" w14:paraId="1EE6A7EA" w14:textId="77777777">
            <w:r>
              <w:t>Pounds</w:t>
            </w:r>
          </w:p>
        </w:tc>
        <w:tc>
          <w:tcPr>
            <w:tcW w:w="1530" w:type="dxa"/>
          </w:tcPr>
          <w:p w:rsidR="006C65F9" w:rsidP="00A253D3" w14:paraId="11C48118" w14:textId="77777777">
            <w:r>
              <w:t>Rate</w:t>
            </w:r>
          </w:p>
        </w:tc>
        <w:tc>
          <w:tcPr>
            <w:tcW w:w="2160" w:type="dxa"/>
          </w:tcPr>
          <w:p w:rsidR="006C65F9" w:rsidP="00A253D3" w14:paraId="3A993B54" w14:textId="77777777">
            <w:r>
              <w:t>Extended</w:t>
            </w:r>
          </w:p>
        </w:tc>
      </w:tr>
      <w:tr w14:paraId="6ED85381" w14:textId="77777777" w:rsidTr="00A253D3">
        <w:tblPrEx>
          <w:tblW w:w="0" w:type="auto"/>
          <w:tblLook w:val="04A0"/>
        </w:tblPrEx>
        <w:tc>
          <w:tcPr>
            <w:tcW w:w="3955" w:type="dxa"/>
          </w:tcPr>
          <w:p w:rsidR="006C65F9" w:rsidP="00A253D3" w14:paraId="605DE8AC" w14:textId="77777777">
            <w:r>
              <w:t>Class</w:t>
            </w:r>
            <w:r>
              <w:t xml:space="preserve"> I Skim</w:t>
            </w:r>
          </w:p>
        </w:tc>
        <w:tc>
          <w:tcPr>
            <w:tcW w:w="1440" w:type="dxa"/>
          </w:tcPr>
          <w:p w:rsidR="006C65F9" w:rsidP="00A253D3" w14:paraId="0DB3EAA6" w14:textId="77777777">
            <w:pPr>
              <w:jc w:val="center"/>
            </w:pPr>
            <w:r>
              <w:t>96.5</w:t>
            </w:r>
          </w:p>
        </w:tc>
        <w:tc>
          <w:tcPr>
            <w:tcW w:w="1530" w:type="dxa"/>
          </w:tcPr>
          <w:p w:rsidR="006C65F9" w:rsidP="00A253D3" w14:paraId="4A3DA5D1" w14:textId="77777777">
            <w:pPr>
              <w:jc w:val="center"/>
            </w:pPr>
            <w:r>
              <w:t>$9.99 /cwt</w:t>
            </w:r>
          </w:p>
        </w:tc>
        <w:tc>
          <w:tcPr>
            <w:tcW w:w="2160" w:type="dxa"/>
          </w:tcPr>
          <w:p w:rsidR="006C65F9" w:rsidP="00A253D3" w14:paraId="3A0F0FA7" w14:textId="77777777">
            <w:pPr>
              <w:jc w:val="center"/>
            </w:pPr>
            <w:r>
              <w:t>$9.64</w:t>
            </w:r>
          </w:p>
        </w:tc>
      </w:tr>
      <w:tr w14:paraId="1232A69A" w14:textId="77777777" w:rsidTr="00A253D3">
        <w:tblPrEx>
          <w:tblW w:w="0" w:type="auto"/>
          <w:tblLook w:val="04A0"/>
        </w:tblPrEx>
        <w:tc>
          <w:tcPr>
            <w:tcW w:w="3955" w:type="dxa"/>
          </w:tcPr>
          <w:p w:rsidR="006C65F9" w:rsidP="00A253D3" w14:paraId="7C0873E5" w14:textId="77777777">
            <w:r>
              <w:t>Class I Butterfat</w:t>
            </w:r>
          </w:p>
        </w:tc>
        <w:tc>
          <w:tcPr>
            <w:tcW w:w="1440" w:type="dxa"/>
          </w:tcPr>
          <w:p w:rsidR="006C65F9" w:rsidP="00A253D3" w14:paraId="6B531817" w14:textId="77777777">
            <w:pPr>
              <w:jc w:val="center"/>
            </w:pPr>
            <w:r>
              <w:t>3.5</w:t>
            </w:r>
          </w:p>
        </w:tc>
        <w:tc>
          <w:tcPr>
            <w:tcW w:w="1530" w:type="dxa"/>
          </w:tcPr>
          <w:p w:rsidR="006C65F9" w:rsidP="00A253D3" w14:paraId="6DD02CF4" w14:textId="77777777">
            <w:pPr>
              <w:jc w:val="center"/>
            </w:pPr>
            <w:r>
              <w:t>$1.4446/</w:t>
            </w:r>
            <w:r>
              <w:t>lb</w:t>
            </w:r>
          </w:p>
        </w:tc>
        <w:tc>
          <w:tcPr>
            <w:tcW w:w="2160" w:type="dxa"/>
          </w:tcPr>
          <w:p w:rsidR="006C65F9" w:rsidP="00A253D3" w14:paraId="66597D8E" w14:textId="77777777">
            <w:pPr>
              <w:jc w:val="center"/>
            </w:pPr>
            <w:r>
              <w:t>$5.05</w:t>
            </w:r>
          </w:p>
        </w:tc>
      </w:tr>
      <w:tr w14:paraId="6D166CBC" w14:textId="77777777" w:rsidTr="00A253D3">
        <w:tblPrEx>
          <w:tblW w:w="0" w:type="auto"/>
          <w:tblLook w:val="04A0"/>
        </w:tblPrEx>
        <w:tc>
          <w:tcPr>
            <w:tcW w:w="3955" w:type="dxa"/>
          </w:tcPr>
          <w:p w:rsidR="006C65F9" w:rsidP="00A253D3" w14:paraId="3C2E18A5" w14:textId="77777777">
            <w:r>
              <w:t>Class I differential @ location</w:t>
            </w:r>
          </w:p>
        </w:tc>
        <w:tc>
          <w:tcPr>
            <w:tcW w:w="1440" w:type="dxa"/>
          </w:tcPr>
          <w:p w:rsidR="006C65F9" w:rsidP="00A253D3" w14:paraId="4F743C58" w14:textId="77777777">
            <w:pPr>
              <w:jc w:val="center"/>
            </w:pPr>
          </w:p>
        </w:tc>
        <w:tc>
          <w:tcPr>
            <w:tcW w:w="1530" w:type="dxa"/>
          </w:tcPr>
          <w:p w:rsidR="006C65F9" w:rsidP="00A253D3" w14:paraId="393BE3F8" w14:textId="77777777">
            <w:pPr>
              <w:jc w:val="center"/>
            </w:pPr>
            <w:r>
              <w:t>$3.05</w:t>
            </w:r>
          </w:p>
        </w:tc>
        <w:tc>
          <w:tcPr>
            <w:tcW w:w="2160" w:type="dxa"/>
          </w:tcPr>
          <w:p w:rsidR="006C65F9" w:rsidP="00A253D3" w14:paraId="49A57F6E" w14:textId="77777777">
            <w:pPr>
              <w:jc w:val="center"/>
            </w:pPr>
            <w:r>
              <w:t>$3.05</w:t>
            </w:r>
          </w:p>
        </w:tc>
      </w:tr>
      <w:tr w14:paraId="7F32930D" w14:textId="77777777" w:rsidTr="00A253D3">
        <w:tblPrEx>
          <w:tblW w:w="0" w:type="auto"/>
          <w:tblLook w:val="04A0"/>
        </w:tblPrEx>
        <w:tc>
          <w:tcPr>
            <w:tcW w:w="3955" w:type="dxa"/>
          </w:tcPr>
          <w:p w:rsidR="006C65F9" w:rsidP="00A253D3" w14:paraId="105656F8" w14:textId="77777777">
            <w:r>
              <w:t>Total Producer Milk</w:t>
            </w:r>
          </w:p>
        </w:tc>
        <w:tc>
          <w:tcPr>
            <w:tcW w:w="1440" w:type="dxa"/>
          </w:tcPr>
          <w:p w:rsidR="006C65F9" w:rsidP="00A253D3" w14:paraId="5B532682" w14:textId="77777777">
            <w:pPr>
              <w:jc w:val="center"/>
            </w:pPr>
            <w:r>
              <w:t>100</w:t>
            </w:r>
          </w:p>
        </w:tc>
        <w:tc>
          <w:tcPr>
            <w:tcW w:w="1530" w:type="dxa"/>
          </w:tcPr>
          <w:p w:rsidR="006C65F9" w:rsidP="00A253D3" w14:paraId="1FF92ED5" w14:textId="77777777">
            <w:pPr>
              <w:jc w:val="center"/>
            </w:pPr>
          </w:p>
        </w:tc>
        <w:tc>
          <w:tcPr>
            <w:tcW w:w="2160" w:type="dxa"/>
          </w:tcPr>
          <w:p w:rsidR="006C65F9" w:rsidP="00A253D3" w14:paraId="3586608B" w14:textId="77777777">
            <w:pPr>
              <w:jc w:val="center"/>
            </w:pPr>
            <w:r>
              <w:t>$17.74</w:t>
            </w:r>
          </w:p>
        </w:tc>
      </w:tr>
      <w:tr w14:paraId="289BAA02" w14:textId="77777777" w:rsidTr="00A253D3">
        <w:tblPrEx>
          <w:tblW w:w="0" w:type="auto"/>
          <w:tblLook w:val="04A0"/>
        </w:tblPrEx>
        <w:tc>
          <w:tcPr>
            <w:tcW w:w="3955" w:type="dxa"/>
          </w:tcPr>
          <w:p w:rsidR="006C65F9" w:rsidP="00A253D3" w14:paraId="524062C4" w14:textId="77777777"/>
        </w:tc>
        <w:tc>
          <w:tcPr>
            <w:tcW w:w="1440" w:type="dxa"/>
          </w:tcPr>
          <w:p w:rsidR="006C65F9" w:rsidP="00A253D3" w14:paraId="0B19DB96" w14:textId="77777777">
            <w:pPr>
              <w:jc w:val="center"/>
            </w:pPr>
          </w:p>
        </w:tc>
        <w:tc>
          <w:tcPr>
            <w:tcW w:w="1530" w:type="dxa"/>
          </w:tcPr>
          <w:p w:rsidR="006C65F9" w:rsidP="00A253D3" w14:paraId="7A09CFEC" w14:textId="77777777">
            <w:pPr>
              <w:jc w:val="center"/>
            </w:pPr>
          </w:p>
        </w:tc>
        <w:tc>
          <w:tcPr>
            <w:tcW w:w="2160" w:type="dxa"/>
          </w:tcPr>
          <w:p w:rsidR="006C65F9" w:rsidP="00A253D3" w14:paraId="657A870B" w14:textId="77777777">
            <w:pPr>
              <w:jc w:val="center"/>
            </w:pPr>
          </w:p>
        </w:tc>
      </w:tr>
      <w:tr w14:paraId="7737C817" w14:textId="77777777" w:rsidTr="00A253D3">
        <w:tblPrEx>
          <w:tblW w:w="0" w:type="auto"/>
          <w:tblLook w:val="04A0"/>
        </w:tblPrEx>
        <w:tc>
          <w:tcPr>
            <w:tcW w:w="3955" w:type="dxa"/>
          </w:tcPr>
          <w:p w:rsidR="006C65F9" w:rsidP="00A253D3" w14:paraId="76D5CF9D" w14:textId="77777777">
            <w:r>
              <w:t xml:space="preserve">Producer </w:t>
            </w:r>
            <w:r>
              <w:t>lbs</w:t>
            </w:r>
            <w:r>
              <w:t xml:space="preserve"> x Producer Differential</w:t>
            </w:r>
          </w:p>
        </w:tc>
        <w:tc>
          <w:tcPr>
            <w:tcW w:w="1440" w:type="dxa"/>
          </w:tcPr>
          <w:p w:rsidR="006C65F9" w:rsidP="00A253D3" w14:paraId="038A9F6B" w14:textId="77777777">
            <w:pPr>
              <w:jc w:val="center"/>
            </w:pPr>
            <w:r>
              <w:t>100</w:t>
            </w:r>
          </w:p>
        </w:tc>
        <w:tc>
          <w:tcPr>
            <w:tcW w:w="1530" w:type="dxa"/>
          </w:tcPr>
          <w:p w:rsidR="006C65F9" w:rsidP="00A253D3" w14:paraId="78127634" w14:textId="77777777">
            <w:pPr>
              <w:jc w:val="center"/>
            </w:pPr>
            <w:r>
              <w:t>$2.37/cwt</w:t>
            </w:r>
          </w:p>
        </w:tc>
        <w:tc>
          <w:tcPr>
            <w:tcW w:w="2160" w:type="dxa"/>
          </w:tcPr>
          <w:p w:rsidR="006C65F9" w:rsidP="00A253D3" w14:paraId="774D9AC7" w14:textId="77777777">
            <w:pPr>
              <w:jc w:val="center"/>
            </w:pPr>
            <w:r>
              <w:t>$2.37</w:t>
            </w:r>
          </w:p>
        </w:tc>
      </w:tr>
      <w:tr w14:paraId="1AB5D5AA" w14:textId="77777777" w:rsidTr="00A253D3">
        <w:tblPrEx>
          <w:tblW w:w="0" w:type="auto"/>
          <w:tblLook w:val="04A0"/>
        </w:tblPrEx>
        <w:tc>
          <w:tcPr>
            <w:tcW w:w="3955" w:type="dxa"/>
          </w:tcPr>
          <w:p w:rsidR="006C65F9" w:rsidP="00A253D3" w14:paraId="320407AD" w14:textId="77777777">
            <w:r>
              <w:t>Butterfat x Butterfat Price</w:t>
            </w:r>
          </w:p>
        </w:tc>
        <w:tc>
          <w:tcPr>
            <w:tcW w:w="1440" w:type="dxa"/>
          </w:tcPr>
          <w:p w:rsidR="006C65F9" w:rsidP="00A253D3" w14:paraId="5FA75249" w14:textId="77777777">
            <w:pPr>
              <w:jc w:val="center"/>
            </w:pPr>
            <w:r>
              <w:t>3.5</w:t>
            </w:r>
          </w:p>
        </w:tc>
        <w:tc>
          <w:tcPr>
            <w:tcW w:w="1530" w:type="dxa"/>
          </w:tcPr>
          <w:p w:rsidR="006C65F9" w:rsidP="00A253D3" w14:paraId="310C9D93" w14:textId="77777777">
            <w:pPr>
              <w:jc w:val="center"/>
            </w:pPr>
            <w:r>
              <w:t>$1.7794</w:t>
            </w:r>
          </w:p>
        </w:tc>
        <w:tc>
          <w:tcPr>
            <w:tcW w:w="2160" w:type="dxa"/>
          </w:tcPr>
          <w:p w:rsidR="006C65F9" w:rsidP="00A253D3" w14:paraId="4C05EF30" w14:textId="77777777">
            <w:pPr>
              <w:jc w:val="center"/>
            </w:pPr>
            <w:r>
              <w:t>$6.23</w:t>
            </w:r>
          </w:p>
        </w:tc>
      </w:tr>
      <w:tr w14:paraId="3C48D27F" w14:textId="77777777" w:rsidTr="00A253D3">
        <w:tblPrEx>
          <w:tblW w:w="0" w:type="auto"/>
          <w:tblLook w:val="04A0"/>
        </w:tblPrEx>
        <w:tc>
          <w:tcPr>
            <w:tcW w:w="3955" w:type="dxa"/>
          </w:tcPr>
          <w:p w:rsidR="006C65F9" w:rsidP="00A253D3" w14:paraId="4CD28A56" w14:textId="77777777">
            <w:r>
              <w:t>Protein x Protein Price</w:t>
            </w:r>
          </w:p>
        </w:tc>
        <w:tc>
          <w:tcPr>
            <w:tcW w:w="1440" w:type="dxa"/>
          </w:tcPr>
          <w:p w:rsidR="006C65F9" w:rsidP="00A253D3" w14:paraId="4411EC32" w14:textId="77777777">
            <w:pPr>
              <w:jc w:val="center"/>
            </w:pPr>
            <w:r>
              <w:t>3.3</w:t>
            </w:r>
          </w:p>
        </w:tc>
        <w:tc>
          <w:tcPr>
            <w:tcW w:w="1530" w:type="dxa"/>
          </w:tcPr>
          <w:p w:rsidR="006C65F9" w:rsidP="00A253D3" w14:paraId="7E9F03AA" w14:textId="77777777">
            <w:pPr>
              <w:jc w:val="center"/>
            </w:pPr>
            <w:r>
              <w:t>$1.9373</w:t>
            </w:r>
          </w:p>
        </w:tc>
        <w:tc>
          <w:tcPr>
            <w:tcW w:w="2160" w:type="dxa"/>
          </w:tcPr>
          <w:p w:rsidR="006C65F9" w:rsidP="00A253D3" w14:paraId="355C983B" w14:textId="77777777">
            <w:pPr>
              <w:jc w:val="center"/>
            </w:pPr>
            <w:r>
              <w:t>$6.39</w:t>
            </w:r>
          </w:p>
        </w:tc>
      </w:tr>
      <w:tr w14:paraId="124FDF41" w14:textId="77777777" w:rsidTr="00A253D3">
        <w:tblPrEx>
          <w:tblW w:w="0" w:type="auto"/>
          <w:tblLook w:val="04A0"/>
        </w:tblPrEx>
        <w:tc>
          <w:tcPr>
            <w:tcW w:w="3955" w:type="dxa"/>
          </w:tcPr>
          <w:p w:rsidR="006C65F9" w:rsidP="00A253D3" w14:paraId="50C01B6A" w14:textId="77777777">
            <w:r>
              <w:t>Other Solids x Other Solids Price</w:t>
            </w:r>
          </w:p>
        </w:tc>
        <w:tc>
          <w:tcPr>
            <w:tcW w:w="1440" w:type="dxa"/>
          </w:tcPr>
          <w:p w:rsidR="006C65F9" w:rsidP="00A253D3" w14:paraId="74E8A412" w14:textId="77777777">
            <w:pPr>
              <w:jc w:val="center"/>
            </w:pPr>
            <w:r>
              <w:t>6.0</w:t>
            </w:r>
          </w:p>
        </w:tc>
        <w:tc>
          <w:tcPr>
            <w:tcW w:w="1530" w:type="dxa"/>
          </w:tcPr>
          <w:p w:rsidR="006C65F9" w:rsidP="00A253D3" w14:paraId="1BEB3C54" w14:textId="77777777">
            <w:pPr>
              <w:jc w:val="center"/>
            </w:pPr>
            <w:r>
              <w:t>$0.4391</w:t>
            </w:r>
          </w:p>
        </w:tc>
        <w:tc>
          <w:tcPr>
            <w:tcW w:w="2160" w:type="dxa"/>
          </w:tcPr>
          <w:p w:rsidR="006C65F9" w:rsidP="00A253D3" w14:paraId="2A762AAC" w14:textId="77777777">
            <w:pPr>
              <w:jc w:val="center"/>
            </w:pPr>
            <w:r>
              <w:t>$2.63</w:t>
            </w:r>
          </w:p>
        </w:tc>
      </w:tr>
      <w:tr w14:paraId="4A8ECFAE" w14:textId="77777777" w:rsidTr="00A253D3">
        <w:tblPrEx>
          <w:tblW w:w="0" w:type="auto"/>
          <w:tblLook w:val="04A0"/>
        </w:tblPrEx>
        <w:tc>
          <w:tcPr>
            <w:tcW w:w="3955" w:type="dxa"/>
          </w:tcPr>
          <w:p w:rsidR="006C65F9" w:rsidP="00A253D3" w14:paraId="1D348121" w14:textId="77777777">
            <w:r>
              <w:t>Location Adjustment</w:t>
            </w:r>
          </w:p>
        </w:tc>
        <w:tc>
          <w:tcPr>
            <w:tcW w:w="1440" w:type="dxa"/>
          </w:tcPr>
          <w:p w:rsidR="006C65F9" w:rsidP="00A253D3" w14:paraId="024A9187" w14:textId="77777777">
            <w:pPr>
              <w:jc w:val="center"/>
            </w:pPr>
            <w:r>
              <w:t>100</w:t>
            </w:r>
          </w:p>
        </w:tc>
        <w:tc>
          <w:tcPr>
            <w:tcW w:w="1530" w:type="dxa"/>
          </w:tcPr>
          <w:p w:rsidR="006C65F9" w:rsidP="00A253D3" w14:paraId="01BDA6E9" w14:textId="77777777">
            <w:pPr>
              <w:jc w:val="center"/>
            </w:pPr>
            <w:r>
              <w:t>-$0.35</w:t>
            </w:r>
          </w:p>
        </w:tc>
        <w:tc>
          <w:tcPr>
            <w:tcW w:w="2160" w:type="dxa"/>
          </w:tcPr>
          <w:p w:rsidR="006C65F9" w:rsidP="00A253D3" w14:paraId="63B8FB55" w14:textId="77777777">
            <w:pPr>
              <w:jc w:val="center"/>
            </w:pPr>
            <w:r>
              <w:t>-$0.35</w:t>
            </w:r>
          </w:p>
        </w:tc>
      </w:tr>
      <w:tr w14:paraId="0F285658" w14:textId="77777777" w:rsidTr="00A253D3">
        <w:tblPrEx>
          <w:tblW w:w="0" w:type="auto"/>
          <w:tblLook w:val="04A0"/>
        </w:tblPrEx>
        <w:tc>
          <w:tcPr>
            <w:tcW w:w="3955" w:type="dxa"/>
          </w:tcPr>
          <w:p w:rsidR="006C65F9" w:rsidP="00A253D3" w14:paraId="63C2164F" w14:textId="77777777">
            <w:r>
              <w:t>Paid by Handler</w:t>
            </w:r>
          </w:p>
        </w:tc>
        <w:tc>
          <w:tcPr>
            <w:tcW w:w="1440" w:type="dxa"/>
          </w:tcPr>
          <w:p w:rsidR="006C65F9" w:rsidP="00A253D3" w14:paraId="27DEB535" w14:textId="77777777">
            <w:pPr>
              <w:jc w:val="center"/>
            </w:pPr>
          </w:p>
        </w:tc>
        <w:tc>
          <w:tcPr>
            <w:tcW w:w="1530" w:type="dxa"/>
          </w:tcPr>
          <w:p w:rsidR="006C65F9" w:rsidP="00A253D3" w14:paraId="25DA8A4C" w14:textId="77777777">
            <w:pPr>
              <w:jc w:val="center"/>
            </w:pPr>
          </w:p>
        </w:tc>
        <w:tc>
          <w:tcPr>
            <w:tcW w:w="2160" w:type="dxa"/>
          </w:tcPr>
          <w:p w:rsidR="006C65F9" w:rsidP="00A253D3" w14:paraId="4BF8497E" w14:textId="77777777">
            <w:pPr>
              <w:jc w:val="center"/>
            </w:pPr>
            <w:r w:rsidRPr="006C65F9">
              <w:t>$17.27</w:t>
            </w:r>
          </w:p>
        </w:tc>
      </w:tr>
      <w:tr w14:paraId="40A0DD4C" w14:textId="77777777" w:rsidTr="00A253D3">
        <w:tblPrEx>
          <w:tblW w:w="0" w:type="auto"/>
          <w:tblLook w:val="04A0"/>
        </w:tblPrEx>
        <w:tc>
          <w:tcPr>
            <w:tcW w:w="3955" w:type="dxa"/>
          </w:tcPr>
          <w:p w:rsidR="006C65F9" w:rsidP="00A253D3" w14:paraId="19853335" w14:textId="77777777"/>
        </w:tc>
        <w:tc>
          <w:tcPr>
            <w:tcW w:w="1440" w:type="dxa"/>
          </w:tcPr>
          <w:p w:rsidR="006C65F9" w:rsidP="00A253D3" w14:paraId="260A2570" w14:textId="77777777">
            <w:pPr>
              <w:jc w:val="center"/>
            </w:pPr>
          </w:p>
        </w:tc>
        <w:tc>
          <w:tcPr>
            <w:tcW w:w="1530" w:type="dxa"/>
          </w:tcPr>
          <w:p w:rsidR="006C65F9" w:rsidP="00A253D3" w14:paraId="6E4B0177" w14:textId="77777777">
            <w:pPr>
              <w:jc w:val="center"/>
            </w:pPr>
          </w:p>
        </w:tc>
        <w:tc>
          <w:tcPr>
            <w:tcW w:w="2160" w:type="dxa"/>
          </w:tcPr>
          <w:p w:rsidR="006C65F9" w:rsidP="00A253D3" w14:paraId="4E8432E2" w14:textId="77777777">
            <w:pPr>
              <w:jc w:val="center"/>
            </w:pPr>
          </w:p>
        </w:tc>
      </w:tr>
      <w:tr w14:paraId="008D32B0" w14:textId="77777777" w:rsidTr="00A253D3">
        <w:tblPrEx>
          <w:tblW w:w="0" w:type="auto"/>
          <w:tblLook w:val="04A0"/>
        </w:tblPrEx>
        <w:tc>
          <w:tcPr>
            <w:tcW w:w="3955" w:type="dxa"/>
          </w:tcPr>
          <w:p w:rsidR="006C65F9" w:rsidP="00A253D3" w14:paraId="7656743D" w14:textId="77777777">
            <w:r>
              <w:t>Payment to the settlement fund</w:t>
            </w:r>
          </w:p>
        </w:tc>
        <w:tc>
          <w:tcPr>
            <w:tcW w:w="1440" w:type="dxa"/>
          </w:tcPr>
          <w:p w:rsidR="006C65F9" w:rsidP="00A253D3" w14:paraId="6DB63ADF" w14:textId="77777777">
            <w:pPr>
              <w:jc w:val="center"/>
            </w:pPr>
          </w:p>
        </w:tc>
        <w:tc>
          <w:tcPr>
            <w:tcW w:w="1530" w:type="dxa"/>
          </w:tcPr>
          <w:p w:rsidR="006C65F9" w:rsidP="00A253D3" w14:paraId="02FD80D1" w14:textId="77777777">
            <w:pPr>
              <w:jc w:val="center"/>
            </w:pPr>
          </w:p>
        </w:tc>
        <w:tc>
          <w:tcPr>
            <w:tcW w:w="2160" w:type="dxa"/>
          </w:tcPr>
          <w:p w:rsidR="006C65F9" w:rsidP="00A253D3" w14:paraId="52437285" w14:textId="77777777">
            <w:pPr>
              <w:jc w:val="center"/>
            </w:pPr>
            <w:r>
              <w:t>$0.47</w:t>
            </w:r>
          </w:p>
        </w:tc>
      </w:tr>
    </w:tbl>
    <w:p w:rsidR="006C65F9" w:rsidP="007B5888" w14:paraId="2BEF8D5B" w14:textId="77777777"/>
    <w:p w:rsidR="006C65F9" w:rsidP="007B5888" w14:paraId="6285DF80" w14:textId="50B7FBFD">
      <w:r>
        <w:t xml:space="preserve">For producers selling milk to Class I processors, the new differentials reduced their reimbursement by </w:t>
      </w:r>
      <w:r w:rsidRPr="006C65F9">
        <w:rPr>
          <w:b/>
          <w:bCs/>
          <w:i/>
          <w:iCs/>
          <w:u w:val="single"/>
        </w:rPr>
        <w:t>$0.45/cwt</w:t>
      </w:r>
      <w:r>
        <w:t xml:space="preserve"> in this example. While the Class I processor pays $1.55/cwt more, the market absorbs the difference. Given the amount of milk moving to manufacturing, most of the Class I reimbursement moved there.</w:t>
      </w:r>
    </w:p>
    <w:p w:rsidR="00D51D8E" w:rsidP="007B5888" w14:paraId="679E03FC" w14:textId="77777777">
      <w:r>
        <w:t>T</w:t>
      </w:r>
      <w:r w:rsidR="006A5B7E">
        <w:t xml:space="preserve">here were comments </w:t>
      </w:r>
      <w:r w:rsidR="0094654B">
        <w:t>that the map did not accurately reflect commercial movement between farms and processors, and</w:t>
      </w:r>
      <w:r>
        <w:t xml:space="preserve"> the implications were not well understood. </w:t>
      </w:r>
      <w:r w:rsidR="0094654B">
        <w:t xml:space="preserve">While there is a </w:t>
      </w:r>
      <w:r w:rsidR="00657894">
        <w:t xml:space="preserve">stated </w:t>
      </w:r>
      <w:r w:rsidR="0094654B">
        <w:t>“reimbursement” for the cost to service the Class I market,</w:t>
      </w:r>
      <w:r w:rsidR="00657894">
        <w:t xml:space="preserve"> the change meant that Class I producers </w:t>
      </w:r>
      <w:r>
        <w:t xml:space="preserve">are now giving away a bigger portion of the Class I differential when they receive adjustments outside of their processor’s zone (which is commonplace across PAMD member plants) </w:t>
      </w:r>
      <w:r w:rsidR="00657894">
        <w:t>outside of the same zone</w:t>
      </w:r>
      <w:r>
        <w:t xml:space="preserve"> and that amount is distributed to manufacturing in Pennsylvania and worse for Pennsylvania’s Class I producers that money is subsidizing pay outs to farms outside of Pennsylvania. </w:t>
      </w:r>
    </w:p>
    <w:p w:rsidR="00B6189C" w:rsidP="007B5888" w14:paraId="340BD74E" w14:textId="1240040D">
      <w:r>
        <w:t xml:space="preserve">While a dairy producer may deliver </w:t>
      </w:r>
      <w:r w:rsidR="00B00F12">
        <w:t>to a Class I bottling plant, if they are in a lower location zone, they would be reimbursed as if the delivery were to their zone,</w:t>
      </w:r>
      <w:r w:rsidR="00876BC9">
        <w:t xml:space="preserve"> not </w:t>
      </w:r>
      <w:r w:rsidR="00AB35EF">
        <w:t>to the actual plant</w:t>
      </w:r>
      <w:r w:rsidR="00131555">
        <w:t xml:space="preserve"> location</w:t>
      </w:r>
      <w:r w:rsidR="006C65F9">
        <w:t>. That means</w:t>
      </w:r>
      <w:r>
        <w:t xml:space="preserve"> Pennsylvania’s Class I plants</w:t>
      </w:r>
      <w:r w:rsidR="006C65F9">
        <w:t>, which producers expect to pay favorable prices,</w:t>
      </w:r>
      <w:r>
        <w:t xml:space="preserve"> will have the same amount of money to distribute to their farmers as manufacturing plants without the Over Order Premium</w:t>
      </w:r>
      <w:r w:rsidR="00AB35EF">
        <w:t>.</w:t>
      </w:r>
      <w:r>
        <w:t xml:space="preserve">  This creates the potential for serious competitive issues in terms of retaining a milk supply for Class I plants.  Without having a revenue source to incentivize their farmers to deliver.</w:t>
      </w:r>
      <w:r w:rsidR="00C27BB9">
        <w:t xml:space="preserve"> </w:t>
      </w:r>
    </w:p>
    <w:p w:rsidR="00B00F12" w:rsidP="007B5888" w14:paraId="6A1E7279" w14:textId="77777777"/>
    <w:p w:rsidR="00763081" w:rsidP="00763081" w14:paraId="2D1A730F" w14:textId="77777777">
      <w:pPr>
        <w:pStyle w:val="Heading3"/>
      </w:pPr>
      <w:r>
        <w:t>Image 1. Northeast Location Differentials</w:t>
      </w:r>
      <w:r>
        <w:rPr>
          <w:rStyle w:val="FootnoteReference"/>
        </w:rPr>
        <w:footnoteReference w:id="6"/>
      </w:r>
    </w:p>
    <w:p w:rsidR="00763081" w:rsidP="007B5888" w14:paraId="6ABCDDE3" w14:textId="77777777">
      <w:r w:rsidRPr="00763081">
        <w:rPr>
          <w:noProof/>
        </w:rPr>
        <w:drawing>
          <wp:inline distT="0" distB="0" distL="0" distR="0">
            <wp:extent cx="5080000" cy="3915291"/>
            <wp:effectExtent l="0" t="0" r="6350" b="9525"/>
            <wp:docPr id="1193368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68308" name=""/>
                    <pic:cNvPicPr/>
                  </pic:nvPicPr>
                  <pic:blipFill>
                    <a:blip xmlns:r="http://schemas.openxmlformats.org/officeDocument/2006/relationships" r:embed="rId5"/>
                    <a:stretch>
                      <a:fillRect/>
                    </a:stretch>
                  </pic:blipFill>
                  <pic:spPr>
                    <a:xfrm>
                      <a:off x="0" y="0"/>
                      <a:ext cx="5092137" cy="3924645"/>
                    </a:xfrm>
                    <a:prstGeom prst="rect">
                      <a:avLst/>
                    </a:prstGeom>
                  </pic:spPr>
                </pic:pic>
              </a:graphicData>
            </a:graphic>
          </wp:inline>
        </w:drawing>
      </w:r>
    </w:p>
    <w:p w:rsidR="006C65F9" w:rsidP="007B5888" w14:paraId="31C4162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28B0" w:rsidP="008677E3" w14:paraId="1DF419BE" w14:textId="77777777">
      <w:pPr>
        <w:spacing w:after="0" w:line="240" w:lineRule="auto"/>
      </w:pPr>
      <w:r>
        <w:separator/>
      </w:r>
    </w:p>
  </w:footnote>
  <w:footnote w:type="continuationSeparator" w:id="1">
    <w:p w:rsidR="009928B0" w:rsidP="008677E3" w14:paraId="7838177A" w14:textId="77777777">
      <w:pPr>
        <w:spacing w:after="0" w:line="240" w:lineRule="auto"/>
      </w:pPr>
      <w:r>
        <w:continuationSeparator/>
      </w:r>
    </w:p>
  </w:footnote>
  <w:footnote w:id="2">
    <w:p w:rsidR="003B16C1" w14:paraId="44489E1E" w14:textId="77777777">
      <w:pPr>
        <w:pStyle w:val="FootnoteText"/>
      </w:pPr>
      <w:r>
        <w:rPr>
          <w:rStyle w:val="FootnoteReference"/>
        </w:rPr>
        <w:footnoteRef/>
      </w:r>
      <w:r>
        <w:t xml:space="preserve"> </w:t>
      </w:r>
      <w:r w:rsidRPr="003B16C1">
        <w:t>/https://marketready.uky.edu/sites/default/files/2024-07/a-survey-of-pennsylvania-value-added.pdf</w:t>
      </w:r>
    </w:p>
  </w:footnote>
  <w:footnote w:id="3">
    <w:p w:rsidR="008677E3" w14:paraId="30E6C15C" w14:textId="77777777">
      <w:pPr>
        <w:pStyle w:val="FootnoteText"/>
      </w:pPr>
      <w:r>
        <w:rPr>
          <w:rStyle w:val="FootnoteReference"/>
        </w:rPr>
        <w:footnoteRef/>
      </w:r>
      <w:r>
        <w:t xml:space="preserve"> </w:t>
      </w:r>
      <w:hyperlink r:id="rId1" w:history="1">
        <w:r w:rsidRPr="006608D0">
          <w:rPr>
            <w:rStyle w:val="Hyperlink"/>
          </w:rPr>
          <w:t>https://agriculture.ny.gov/system/files/documents/2025/08/2024dairystatisticsannualsummary.pdf</w:t>
        </w:r>
      </w:hyperlink>
      <w:r>
        <w:t>, Page 8</w:t>
      </w:r>
    </w:p>
  </w:footnote>
  <w:footnote w:id="4">
    <w:p w:rsidR="00483C80" w14:paraId="1F94C5CF" w14:textId="77777777">
      <w:pPr>
        <w:pStyle w:val="FootnoteText"/>
      </w:pPr>
      <w:r>
        <w:rPr>
          <w:rStyle w:val="FootnoteReference"/>
        </w:rPr>
        <w:footnoteRef/>
      </w:r>
      <w:r>
        <w:t xml:space="preserve"> </w:t>
      </w:r>
      <w:r w:rsidRPr="00483C80">
        <w:t>https://www.fmmone.com/Plant_List/Pool-2024.pdf</w:t>
      </w:r>
    </w:p>
  </w:footnote>
  <w:footnote w:id="5">
    <w:p w:rsidR="00483C80" w14:paraId="29755271" w14:textId="77777777">
      <w:pPr>
        <w:pStyle w:val="FootnoteText"/>
      </w:pPr>
      <w:r>
        <w:rPr>
          <w:rStyle w:val="FootnoteReference"/>
        </w:rPr>
        <w:footnoteRef/>
      </w:r>
      <w:r>
        <w:t xml:space="preserve"> </w:t>
      </w:r>
      <w:r w:rsidRPr="00483C80">
        <w:t>https://www.pa.gov/content/dam/copapwp-pagov/en/pmb/documents/board-initiatives/Economic%20Impact%20of%20Elimination%20of%20Pennsylvania%27s%20Minimum%20Milk%20Pricing%20System%20November%202023.pdf</w:t>
      </w:r>
    </w:p>
  </w:footnote>
  <w:footnote w:id="6">
    <w:p w:rsidR="00763081" w14:paraId="14E89464" w14:textId="77777777">
      <w:pPr>
        <w:pStyle w:val="FootnoteText"/>
      </w:pPr>
      <w:r>
        <w:rPr>
          <w:rStyle w:val="FootnoteReference"/>
        </w:rPr>
        <w:footnoteRef/>
      </w:r>
      <w:r>
        <w:t xml:space="preserve"> </w:t>
      </w:r>
      <w:r w:rsidRPr="00DF0442" w:rsidR="00DF0442">
        <w:t>https://www.fmmone.com/Maps/NE-Diff-Zone-Map-Eff-6-1-25.pdf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E3"/>
    <w:rsid w:val="000173FB"/>
    <w:rsid w:val="000177ED"/>
    <w:rsid w:val="00046BAD"/>
    <w:rsid w:val="00080FE3"/>
    <w:rsid w:val="00092533"/>
    <w:rsid w:val="000A1C59"/>
    <w:rsid w:val="000A5F59"/>
    <w:rsid w:val="000A7A56"/>
    <w:rsid w:val="000C1B49"/>
    <w:rsid w:val="000C6662"/>
    <w:rsid w:val="001002AD"/>
    <w:rsid w:val="00131555"/>
    <w:rsid w:val="00154C6E"/>
    <w:rsid w:val="00156118"/>
    <w:rsid w:val="00161BCD"/>
    <w:rsid w:val="00163077"/>
    <w:rsid w:val="00176C1B"/>
    <w:rsid w:val="00207D08"/>
    <w:rsid w:val="0022054C"/>
    <w:rsid w:val="00267609"/>
    <w:rsid w:val="002F6202"/>
    <w:rsid w:val="00314E64"/>
    <w:rsid w:val="00336052"/>
    <w:rsid w:val="00343095"/>
    <w:rsid w:val="00362B2C"/>
    <w:rsid w:val="0036673B"/>
    <w:rsid w:val="003B16C1"/>
    <w:rsid w:val="003B19C8"/>
    <w:rsid w:val="003B1E04"/>
    <w:rsid w:val="003D613D"/>
    <w:rsid w:val="00400236"/>
    <w:rsid w:val="004122F1"/>
    <w:rsid w:val="0042795B"/>
    <w:rsid w:val="004307BD"/>
    <w:rsid w:val="00452B16"/>
    <w:rsid w:val="00454F34"/>
    <w:rsid w:val="00483C80"/>
    <w:rsid w:val="0049791E"/>
    <w:rsid w:val="004B2A21"/>
    <w:rsid w:val="004B3594"/>
    <w:rsid w:val="004D1DC1"/>
    <w:rsid w:val="004E076B"/>
    <w:rsid w:val="004E3887"/>
    <w:rsid w:val="004F5571"/>
    <w:rsid w:val="00505BAB"/>
    <w:rsid w:val="0052551E"/>
    <w:rsid w:val="00574A05"/>
    <w:rsid w:val="005A2057"/>
    <w:rsid w:val="005A6ECA"/>
    <w:rsid w:val="005F3FDB"/>
    <w:rsid w:val="006073EB"/>
    <w:rsid w:val="006124AE"/>
    <w:rsid w:val="006236FB"/>
    <w:rsid w:val="006307E8"/>
    <w:rsid w:val="00646140"/>
    <w:rsid w:val="00657894"/>
    <w:rsid w:val="006608D0"/>
    <w:rsid w:val="00664978"/>
    <w:rsid w:val="006A5B7E"/>
    <w:rsid w:val="006C65F9"/>
    <w:rsid w:val="00734275"/>
    <w:rsid w:val="00742043"/>
    <w:rsid w:val="00763081"/>
    <w:rsid w:val="00782B50"/>
    <w:rsid w:val="00787F10"/>
    <w:rsid w:val="007A1F21"/>
    <w:rsid w:val="007A22A6"/>
    <w:rsid w:val="007A62B7"/>
    <w:rsid w:val="007B5888"/>
    <w:rsid w:val="007C5E92"/>
    <w:rsid w:val="007D7008"/>
    <w:rsid w:val="007F4D41"/>
    <w:rsid w:val="0086644E"/>
    <w:rsid w:val="008677E3"/>
    <w:rsid w:val="00876BC9"/>
    <w:rsid w:val="008B119D"/>
    <w:rsid w:val="008C2EA0"/>
    <w:rsid w:val="00913125"/>
    <w:rsid w:val="00932D17"/>
    <w:rsid w:val="0094654B"/>
    <w:rsid w:val="00951F6B"/>
    <w:rsid w:val="00953883"/>
    <w:rsid w:val="009928B0"/>
    <w:rsid w:val="009B3B03"/>
    <w:rsid w:val="009D473C"/>
    <w:rsid w:val="00A253D3"/>
    <w:rsid w:val="00A4354C"/>
    <w:rsid w:val="00A97394"/>
    <w:rsid w:val="00AA0814"/>
    <w:rsid w:val="00AA26D8"/>
    <w:rsid w:val="00AB35EF"/>
    <w:rsid w:val="00AC10D9"/>
    <w:rsid w:val="00B00F12"/>
    <w:rsid w:val="00B04A79"/>
    <w:rsid w:val="00B6189C"/>
    <w:rsid w:val="00B85199"/>
    <w:rsid w:val="00C0161F"/>
    <w:rsid w:val="00C079B6"/>
    <w:rsid w:val="00C27BB9"/>
    <w:rsid w:val="00C41B49"/>
    <w:rsid w:val="00C41E90"/>
    <w:rsid w:val="00C73127"/>
    <w:rsid w:val="00D51D8E"/>
    <w:rsid w:val="00D53BA2"/>
    <w:rsid w:val="00DB084B"/>
    <w:rsid w:val="00DC0890"/>
    <w:rsid w:val="00DF0442"/>
    <w:rsid w:val="00E20882"/>
    <w:rsid w:val="00E421BE"/>
    <w:rsid w:val="00E72063"/>
    <w:rsid w:val="00E72FED"/>
    <w:rsid w:val="00E95B49"/>
    <w:rsid w:val="00EE1C71"/>
    <w:rsid w:val="00EE3BAB"/>
    <w:rsid w:val="00EF63C0"/>
    <w:rsid w:val="00F76DF4"/>
    <w:rsid w:val="00F944EC"/>
    <w:rsid w:val="00FC4297"/>
    <w:rsid w:val="00FD0A12"/>
    <w:rsid w:val="00FD6962"/>
    <w:rsid w:val="00FE77E9"/>
    <w:rsid w:val="00FE78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5C7E1B"/>
  <w15:chartTrackingRefBased/>
  <w15:docId w15:val="{DC2B386A-DABC-4527-89C4-0C313613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0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0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0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0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FE3"/>
    <w:rPr>
      <w:rFonts w:eastAsiaTheme="majorEastAsia" w:cstheme="majorBidi"/>
      <w:color w:val="272727" w:themeColor="text1" w:themeTint="D8"/>
    </w:rPr>
  </w:style>
  <w:style w:type="paragraph" w:styleId="Title">
    <w:name w:val="Title"/>
    <w:basedOn w:val="Normal"/>
    <w:next w:val="Normal"/>
    <w:link w:val="TitleChar"/>
    <w:uiPriority w:val="10"/>
    <w:qFormat/>
    <w:rsid w:val="00080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FE3"/>
    <w:pPr>
      <w:spacing w:before="160"/>
      <w:jc w:val="center"/>
    </w:pPr>
    <w:rPr>
      <w:i/>
      <w:iCs/>
      <w:color w:val="404040" w:themeColor="text1" w:themeTint="BF"/>
    </w:rPr>
  </w:style>
  <w:style w:type="character" w:customStyle="1" w:styleId="QuoteChar">
    <w:name w:val="Quote Char"/>
    <w:basedOn w:val="DefaultParagraphFont"/>
    <w:link w:val="Quote"/>
    <w:uiPriority w:val="29"/>
    <w:rsid w:val="00080FE3"/>
    <w:rPr>
      <w:i/>
      <w:iCs/>
      <w:color w:val="404040" w:themeColor="text1" w:themeTint="BF"/>
    </w:rPr>
  </w:style>
  <w:style w:type="paragraph" w:styleId="ListParagraph">
    <w:name w:val="List Paragraph"/>
    <w:basedOn w:val="Normal"/>
    <w:uiPriority w:val="34"/>
    <w:qFormat/>
    <w:rsid w:val="00080FE3"/>
    <w:pPr>
      <w:ind w:left="720"/>
      <w:contextualSpacing/>
    </w:pPr>
  </w:style>
  <w:style w:type="character" w:styleId="IntenseEmphasis">
    <w:name w:val="Intense Emphasis"/>
    <w:basedOn w:val="DefaultParagraphFont"/>
    <w:uiPriority w:val="21"/>
    <w:qFormat/>
    <w:rsid w:val="00080FE3"/>
    <w:rPr>
      <w:i/>
      <w:iCs/>
      <w:color w:val="0F4761" w:themeColor="accent1" w:themeShade="BF"/>
    </w:rPr>
  </w:style>
  <w:style w:type="paragraph" w:styleId="IntenseQuote">
    <w:name w:val="Intense Quote"/>
    <w:basedOn w:val="Normal"/>
    <w:next w:val="Normal"/>
    <w:link w:val="IntenseQuoteChar"/>
    <w:uiPriority w:val="30"/>
    <w:qFormat/>
    <w:rsid w:val="00080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FE3"/>
    <w:rPr>
      <w:i/>
      <w:iCs/>
      <w:color w:val="0F4761" w:themeColor="accent1" w:themeShade="BF"/>
    </w:rPr>
  </w:style>
  <w:style w:type="character" w:styleId="IntenseReference">
    <w:name w:val="Intense Reference"/>
    <w:basedOn w:val="DefaultParagraphFont"/>
    <w:uiPriority w:val="32"/>
    <w:qFormat/>
    <w:rsid w:val="00080FE3"/>
    <w:rPr>
      <w:b/>
      <w:bCs/>
      <w:smallCaps/>
      <w:color w:val="0F4761" w:themeColor="accent1" w:themeShade="BF"/>
      <w:spacing w:val="5"/>
    </w:rPr>
  </w:style>
  <w:style w:type="paragraph" w:styleId="FootnoteText">
    <w:name w:val="footnote text"/>
    <w:basedOn w:val="Normal"/>
    <w:link w:val="FootnoteTextChar"/>
    <w:uiPriority w:val="99"/>
    <w:semiHidden/>
    <w:unhideWhenUsed/>
    <w:rsid w:val="008677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7E3"/>
    <w:rPr>
      <w:sz w:val="20"/>
      <w:szCs w:val="20"/>
    </w:rPr>
  </w:style>
  <w:style w:type="character" w:styleId="FootnoteReference">
    <w:name w:val="footnote reference"/>
    <w:basedOn w:val="DefaultParagraphFont"/>
    <w:uiPriority w:val="99"/>
    <w:semiHidden/>
    <w:unhideWhenUsed/>
    <w:rsid w:val="008677E3"/>
    <w:rPr>
      <w:vertAlign w:val="superscript"/>
    </w:rPr>
  </w:style>
  <w:style w:type="character" w:styleId="Hyperlink">
    <w:name w:val="Hyperlink"/>
    <w:basedOn w:val="DefaultParagraphFont"/>
    <w:uiPriority w:val="99"/>
    <w:unhideWhenUsed/>
    <w:rsid w:val="008677E3"/>
    <w:rPr>
      <w:color w:val="467886" w:themeColor="hyperlink"/>
      <w:u w:val="single"/>
    </w:rPr>
  </w:style>
  <w:style w:type="character" w:styleId="UnresolvedMention">
    <w:name w:val="Unresolved Mention"/>
    <w:basedOn w:val="DefaultParagraphFont"/>
    <w:uiPriority w:val="99"/>
    <w:semiHidden/>
    <w:unhideWhenUsed/>
    <w:rsid w:val="008677E3"/>
    <w:rPr>
      <w:color w:val="605E5C"/>
      <w:shd w:val="clear" w:color="auto" w:fill="E1DFDD"/>
    </w:rPr>
  </w:style>
  <w:style w:type="table" w:styleId="TableGrid">
    <w:name w:val="Table Grid"/>
    <w:basedOn w:val="TableNormal"/>
    <w:uiPriority w:val="39"/>
    <w:rsid w:val="005A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agriculture.ny.gov/system/files/documents/2025/08/2024dairystatisticsannualsummar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otalTime>0</TotalTime>
  <Pages>8</Pages>
  <Words>1955</Words>
  <Characters>10851</Characters>
  <Application>Microsoft Office Word</Application>
  <DocSecurity>0</DocSecurity>
  <Lines>0</Lines>
  <Paragraphs>244</Paragraphs>
  <ScaleCrop>false</ScaleCrop>
  <Company/>
  <LinksUpToDate>false</LinksUpToDate>
  <CharactersWithSpaces>13338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2026-05-20T18:06:24Z</dcterms:created>
</cp:coreProperties>
</file>