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AAD2" w14:textId="0BCBA5B3" w:rsidR="00C51267" w:rsidRDefault="00C51267" w:rsidP="008E6274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32660E" wp14:editId="25BF82AD">
                <wp:simplePos x="0" y="0"/>
                <wp:positionH relativeFrom="column">
                  <wp:posOffset>2381250</wp:posOffset>
                </wp:positionH>
                <wp:positionV relativeFrom="paragraph">
                  <wp:posOffset>-342900</wp:posOffset>
                </wp:positionV>
                <wp:extent cx="4362450" cy="1085850"/>
                <wp:effectExtent l="0" t="0" r="19050" b="19050"/>
                <wp:wrapNone/>
                <wp:docPr id="56766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C2910F" w14:textId="77777777" w:rsidR="00FA6C79" w:rsidRDefault="008D30B3" w:rsidP="00870B0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70B0A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Pharmacy Benefit Manager </w:t>
                            </w:r>
                          </w:p>
                          <w:p w14:paraId="22B99D7C" w14:textId="77777777" w:rsidR="00FA6C79" w:rsidRDefault="006D122D" w:rsidP="00870B0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D122D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Annual </w:t>
                            </w:r>
                            <w:r w:rsidR="00870B0A" w:rsidRPr="006D122D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Transparency Report</w:t>
                            </w:r>
                            <w:r w:rsidRPr="006D122D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845B02A" w14:textId="2C64ADC1" w:rsidR="00FD2AB7" w:rsidRPr="006D122D" w:rsidRDefault="006D122D" w:rsidP="00870B0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D122D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Due July 1</w:t>
                            </w:r>
                            <w:r w:rsidRPr="00A466E7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="00FA6C79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Beginning in 2026</w:t>
                            </w:r>
                          </w:p>
                          <w:p w14:paraId="1E93AE8D" w14:textId="2342B900" w:rsidR="006D122D" w:rsidRPr="00870B0A" w:rsidRDefault="006D122D" w:rsidP="00870B0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3266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5pt;margin-top:-27pt;width:343.5pt;height:85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" fillcolor="white [3201]" strokecolor="white [3212]" strokeweight=".5pt">
                <v:textbox>
                  <w:txbxContent>
                    <w:p w14:paraId="2CC2910F" w14:textId="77777777" w:rsidR="00FA6C79" w:rsidRDefault="008D30B3" w:rsidP="00870B0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870B0A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 xml:space="preserve">Pharmacy Benefit Manager </w:t>
                      </w:r>
                    </w:p>
                    <w:p w14:paraId="22B99D7C" w14:textId="77777777" w:rsidR="00FA6C79" w:rsidRDefault="006D122D" w:rsidP="00870B0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6D122D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Annual </w:t>
                      </w:r>
                      <w:r w:rsidR="00870B0A" w:rsidRPr="006D122D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Transparency Report</w:t>
                      </w:r>
                      <w:r w:rsidRPr="006D122D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845B02A" w14:textId="2C64ADC1" w:rsidR="00FD2AB7" w:rsidRPr="006D122D" w:rsidRDefault="006D122D" w:rsidP="00870B0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6D122D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Due July 1</w:t>
                      </w:r>
                      <w:r w:rsidRPr="00A466E7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="00FA6C79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 Beginning in 2026</w:t>
                      </w:r>
                    </w:p>
                    <w:p w14:paraId="1E93AE8D" w14:textId="2342B900" w:rsidR="006D122D" w:rsidRPr="00870B0A" w:rsidRDefault="006D122D" w:rsidP="00870B0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9E940" wp14:editId="1EEEFFB5">
            <wp:simplePos x="0" y="0"/>
            <wp:positionH relativeFrom="column">
              <wp:posOffset>-390525</wp:posOffset>
            </wp:positionH>
            <wp:positionV relativeFrom="paragraph">
              <wp:posOffset>-425450</wp:posOffset>
            </wp:positionV>
            <wp:extent cx="2857500" cy="828675"/>
            <wp:effectExtent l="0" t="0" r="0" b="0"/>
            <wp:wrapNone/>
            <wp:docPr id="1708619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85C767" w14:textId="58BA6B23" w:rsidR="00C51267" w:rsidRDefault="0092181C" w:rsidP="008E6274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B8D1CD" wp14:editId="2BCD69C4">
                <wp:simplePos x="0" y="0"/>
                <wp:positionH relativeFrom="column">
                  <wp:posOffset>-133350</wp:posOffset>
                </wp:positionH>
                <wp:positionV relativeFrom="paragraph">
                  <wp:posOffset>346074</wp:posOffset>
                </wp:positionV>
                <wp:extent cx="6267450" cy="3324225"/>
                <wp:effectExtent l="0" t="0" r="19050" b="28575"/>
                <wp:wrapNone/>
                <wp:docPr id="10671641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20206" w14:textId="0807EF0C" w:rsidR="00B370B7" w:rsidRPr="00EE4227" w:rsidRDefault="00EE4227" w:rsidP="00B370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4227">
                              <w:rPr>
                                <w:sz w:val="24"/>
                                <w:szCs w:val="24"/>
                              </w:rPr>
                              <w:t xml:space="preserve">Act 77 of 2024, the Pharmacy Benefit Reform Act, </w:t>
                            </w:r>
                            <w:r w:rsidR="00B370B7" w:rsidRPr="00EE4227">
                              <w:rPr>
                                <w:sz w:val="24"/>
                                <w:szCs w:val="24"/>
                              </w:rPr>
                              <w:t>was signed into law on July 17, 2024</w:t>
                            </w:r>
                            <w:r w:rsidRPr="00EE422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370B7" w:rsidRPr="00EE4227">
                              <w:rPr>
                                <w:sz w:val="24"/>
                                <w:szCs w:val="24"/>
                              </w:rPr>
                              <w:t xml:space="preserve"> Act 77 expands the Insurance Department's </w:t>
                            </w:r>
                            <w:r w:rsidR="00946A7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1E42F8">
                              <w:rPr>
                                <w:sz w:val="24"/>
                                <w:szCs w:val="24"/>
                              </w:rPr>
                              <w:t>“Department”</w:t>
                            </w:r>
                            <w:r w:rsidR="00946A7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1E42F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70B7" w:rsidRPr="00EE4227">
                              <w:rPr>
                                <w:sz w:val="24"/>
                                <w:szCs w:val="24"/>
                              </w:rPr>
                              <w:t>regulatory authority over Pharmacy Benefit Managers (PBMs), which includes</w:t>
                            </w:r>
                            <w:r w:rsidR="00946A75">
                              <w:rPr>
                                <w:sz w:val="24"/>
                                <w:szCs w:val="24"/>
                              </w:rPr>
                              <w:t xml:space="preserve"> submitting</w:t>
                            </w:r>
                            <w:r w:rsidR="00B370B7" w:rsidRPr="00EE4227">
                              <w:rPr>
                                <w:sz w:val="24"/>
                                <w:szCs w:val="24"/>
                              </w:rPr>
                              <w:t xml:space="preserve"> an annual </w:t>
                            </w:r>
                            <w:r w:rsidR="00870B0A">
                              <w:rPr>
                                <w:sz w:val="24"/>
                                <w:szCs w:val="24"/>
                              </w:rPr>
                              <w:t xml:space="preserve">transparency report to the Insurance Department. </w:t>
                            </w:r>
                            <w:r w:rsidR="00B370B7" w:rsidRPr="00EE42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936B86" w14:textId="77777777" w:rsidR="00BC014E" w:rsidRPr="00EE4227" w:rsidRDefault="00BC014E" w:rsidP="00B370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C9ED48" w14:textId="79811AF9" w:rsidR="00A26F4F" w:rsidRDefault="00970CF3" w:rsidP="00B370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Beginning July 1, 2026, and annually thereafter, </w:t>
                            </w:r>
                            <w:r w:rsidR="008B5232">
                              <w:rPr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7 of Act 77 </w:t>
                            </w:r>
                            <w:r w:rsidR="00F20DB1">
                              <w:rPr>
                                <w:sz w:val="24"/>
                                <w:szCs w:val="24"/>
                              </w:rPr>
                              <w:t xml:space="preserve">requires </w:t>
                            </w:r>
                            <w:r w:rsidR="00D64D54">
                              <w:rPr>
                                <w:sz w:val="24"/>
                                <w:szCs w:val="24"/>
                              </w:rPr>
                              <w:t xml:space="preserve">each registered PBM to submit </w:t>
                            </w:r>
                            <w:r w:rsidR="001E42F8">
                              <w:rPr>
                                <w:sz w:val="24"/>
                                <w:szCs w:val="24"/>
                              </w:rPr>
                              <w:t>to the Department</w:t>
                            </w:r>
                            <w:r w:rsidR="002B39C5">
                              <w:rPr>
                                <w:sz w:val="24"/>
                                <w:szCs w:val="24"/>
                              </w:rPr>
                              <w:t xml:space="preserve"> a transparency report which contains data for each health insurer client in the Commonwealth </w:t>
                            </w:r>
                            <w:r w:rsidR="00424797">
                              <w:rPr>
                                <w:sz w:val="24"/>
                                <w:szCs w:val="24"/>
                              </w:rPr>
                              <w:t>regarding rebates received, administrative fees received, retained rebates</w:t>
                            </w:r>
                            <w:r w:rsidR="00070FF1">
                              <w:rPr>
                                <w:sz w:val="24"/>
                                <w:szCs w:val="24"/>
                              </w:rPr>
                              <w:t xml:space="preserve">, and </w:t>
                            </w:r>
                            <w:r w:rsidR="00A26F4F">
                              <w:rPr>
                                <w:sz w:val="24"/>
                                <w:szCs w:val="24"/>
                              </w:rPr>
                              <w:t xml:space="preserve">data regarding reimbursements of affiliated entities. </w:t>
                            </w:r>
                          </w:p>
                          <w:p w14:paraId="60434E0B" w14:textId="77777777" w:rsidR="00A26F4F" w:rsidRDefault="00A26F4F" w:rsidP="00B370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AFB49F" w14:textId="725497CB" w:rsidR="001260E6" w:rsidRDefault="00946A75" w:rsidP="00B370B7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Submission instructions will</w:t>
                            </w:r>
                            <w:r w:rsidR="00FF3115">
                              <w:rPr>
                                <w:sz w:val="24"/>
                                <w:szCs w:val="24"/>
                              </w:rPr>
                              <w:t xml:space="preserve"> be </w:t>
                            </w:r>
                            <w:r w:rsidR="00D151FB">
                              <w:rPr>
                                <w:sz w:val="24"/>
                                <w:szCs w:val="24"/>
                              </w:rPr>
                              <w:t xml:space="preserve">announced closer to </w:t>
                            </w:r>
                            <w:r w:rsidR="00A26F4F"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  <w:r w:rsidR="00D151FB">
                              <w:rPr>
                                <w:sz w:val="24"/>
                                <w:szCs w:val="24"/>
                              </w:rPr>
                              <w:t xml:space="preserve"> 1, 2026. </w:t>
                            </w:r>
                            <w:r w:rsidR="00955AF4">
                              <w:rPr>
                                <w:sz w:val="24"/>
                                <w:szCs w:val="24"/>
                              </w:rPr>
                              <w:t xml:space="preserve">All questions </w:t>
                            </w:r>
                            <w:r w:rsidR="00A26F4F">
                              <w:rPr>
                                <w:sz w:val="24"/>
                                <w:szCs w:val="24"/>
                              </w:rPr>
                              <w:t xml:space="preserve">regarding the report </w:t>
                            </w:r>
                            <w:r w:rsidR="00955AF4">
                              <w:rPr>
                                <w:sz w:val="24"/>
                                <w:szCs w:val="24"/>
                              </w:rPr>
                              <w:t xml:space="preserve">should be submitted to the </w:t>
                            </w:r>
                            <w:r w:rsidR="00B370B7" w:rsidRPr="00EE4227">
                              <w:rPr>
                                <w:sz w:val="24"/>
                                <w:szCs w:val="24"/>
                              </w:rPr>
                              <w:t xml:space="preserve">Insurance Department </w:t>
                            </w:r>
                            <w:r w:rsidR="00955AF4">
                              <w:rPr>
                                <w:sz w:val="24"/>
                                <w:szCs w:val="24"/>
                              </w:rPr>
                              <w:t xml:space="preserve">by emailing </w:t>
                            </w:r>
                            <w:hyperlink r:id="rId12" w:history="1">
                              <w:r w:rsidR="008D525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ra-in-pbm@pa.gov</w:t>
                              </w:r>
                            </w:hyperlink>
                            <w:r w:rsidR="00B370B7" w:rsidRPr="00EE422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206BC6">
                              <w:rPr>
                                <w:sz w:val="24"/>
                                <w:szCs w:val="24"/>
                              </w:rPr>
                              <w:t xml:space="preserve"> All submissions </w:t>
                            </w:r>
                            <w:r w:rsidR="003010BE"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="00206B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0BE">
                              <w:rPr>
                                <w:sz w:val="24"/>
                                <w:szCs w:val="24"/>
                              </w:rPr>
                              <w:t xml:space="preserve">privileged and will be </w:t>
                            </w:r>
                            <w:r w:rsidR="008B2DEA">
                              <w:rPr>
                                <w:sz w:val="24"/>
                                <w:szCs w:val="24"/>
                              </w:rPr>
                              <w:t xml:space="preserve">given </w:t>
                            </w:r>
                            <w:r w:rsidR="003010BE">
                              <w:rPr>
                                <w:sz w:val="24"/>
                                <w:szCs w:val="24"/>
                              </w:rPr>
                              <w:t>co</w:t>
                            </w:r>
                            <w:r w:rsidR="00206BC6">
                              <w:rPr>
                                <w:sz w:val="24"/>
                                <w:szCs w:val="24"/>
                              </w:rPr>
                              <w:t>nfidential</w:t>
                            </w:r>
                            <w:r w:rsidR="00EC52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2813">
                              <w:rPr>
                                <w:sz w:val="24"/>
                                <w:szCs w:val="24"/>
                              </w:rPr>
                              <w:t xml:space="preserve">treatment.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Consistent with the law</w:t>
                            </w:r>
                            <w:r w:rsidR="00155FE2">
                              <w:rPr>
                                <w:sz w:val="24"/>
                                <w:szCs w:val="24"/>
                              </w:rPr>
                              <w:t>, w</w:t>
                            </w:r>
                            <w:r w:rsidR="00A30CEB">
                              <w:rPr>
                                <w:sz w:val="24"/>
                                <w:szCs w:val="24"/>
                              </w:rPr>
                              <w:t xml:space="preserve">ithin 60 days of receipt, </w:t>
                            </w:r>
                            <w:r w:rsidR="00155FE2">
                              <w:rPr>
                                <w:sz w:val="24"/>
                                <w:szCs w:val="24"/>
                              </w:rPr>
                              <w:t xml:space="preserve">the Department will </w:t>
                            </w:r>
                            <w:r w:rsidR="00FB11B0">
                              <w:rPr>
                                <w:sz w:val="24"/>
                                <w:szCs w:val="24"/>
                              </w:rPr>
                              <w:t xml:space="preserve">aggregate and deidentify the data </w:t>
                            </w:r>
                            <w:r w:rsidR="00CC2428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="00FB11B0">
                              <w:rPr>
                                <w:sz w:val="24"/>
                                <w:szCs w:val="24"/>
                              </w:rPr>
                              <w:t xml:space="preserve"> post </w:t>
                            </w:r>
                            <w:r w:rsidR="005856A9">
                              <w:rPr>
                                <w:sz w:val="24"/>
                                <w:szCs w:val="24"/>
                              </w:rPr>
                              <w:t xml:space="preserve">a transparency report </w:t>
                            </w:r>
                            <w:r w:rsidR="00FB11B0">
                              <w:rPr>
                                <w:sz w:val="24"/>
                                <w:szCs w:val="24"/>
                              </w:rPr>
                              <w:t>on:</w:t>
                            </w:r>
                            <w:r w:rsidR="00161FD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11B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50998D" w14:textId="420E166D" w:rsidR="00E859CE" w:rsidRPr="00EE4227" w:rsidRDefault="00D157AA" w:rsidP="00B370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Pr="00AB6304">
                                <w:rPr>
                                  <w:rStyle w:val="Hyperlink"/>
                                </w:rPr>
                                <w:t>https://www.pa.gov/agencies/insurance/posted-filings-reports-company-orders/posted-reports.html</w:t>
                              </w:r>
                            </w:hyperlink>
                            <w:r>
                              <w:t xml:space="preserve">. </w:t>
                            </w:r>
                            <w:r w:rsidR="00EE59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61A7" w:rsidRPr="00161F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24E5" w:rsidRPr="00161F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8D1CD" id="Text Box 3" o:spid="_x0000_s1027" type="#_x0000_t202" style="position:absolute;left:0;text-align:left;margin-left:-10.5pt;margin-top:27.25pt;width:493.5pt;height:26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" fillcolor="white [3201]" strokeweight=".5pt">
                <v:textbox>
                  <w:txbxContent>
                    <w:p w14:paraId="77520206" w14:textId="0807EF0C" w:rsidR="00B370B7" w:rsidRPr="00EE4227" w:rsidRDefault="00EE4227" w:rsidP="00B370B7">
                      <w:pPr>
                        <w:rPr>
                          <w:sz w:val="24"/>
                          <w:szCs w:val="24"/>
                        </w:rPr>
                      </w:pPr>
                      <w:r w:rsidRPr="00EE4227">
                        <w:rPr>
                          <w:sz w:val="24"/>
                          <w:szCs w:val="24"/>
                        </w:rPr>
                        <w:t xml:space="preserve">Act 77 of 2024, the Pharmacy Benefit Reform Act, </w:t>
                      </w:r>
                      <w:r w:rsidR="00B370B7" w:rsidRPr="00EE4227">
                        <w:rPr>
                          <w:sz w:val="24"/>
                          <w:szCs w:val="24"/>
                        </w:rPr>
                        <w:t>was signed into law on July 17, 2024</w:t>
                      </w:r>
                      <w:r w:rsidRPr="00EE4227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B370B7" w:rsidRPr="00EE4227">
                        <w:rPr>
                          <w:sz w:val="24"/>
                          <w:szCs w:val="24"/>
                        </w:rPr>
                        <w:t xml:space="preserve"> Act 77 expands the Insurance Department's </w:t>
                      </w:r>
                      <w:r w:rsidR="00946A75">
                        <w:rPr>
                          <w:sz w:val="24"/>
                          <w:szCs w:val="24"/>
                        </w:rPr>
                        <w:t>(</w:t>
                      </w:r>
                      <w:r w:rsidR="001E42F8">
                        <w:rPr>
                          <w:sz w:val="24"/>
                          <w:szCs w:val="24"/>
                        </w:rPr>
                        <w:t>“Department”</w:t>
                      </w:r>
                      <w:r w:rsidR="00946A75">
                        <w:rPr>
                          <w:sz w:val="24"/>
                          <w:szCs w:val="24"/>
                        </w:rPr>
                        <w:t>)</w:t>
                      </w:r>
                      <w:r w:rsidR="001E42F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370B7" w:rsidRPr="00EE4227">
                        <w:rPr>
                          <w:sz w:val="24"/>
                          <w:szCs w:val="24"/>
                        </w:rPr>
                        <w:t>regulatory authority over Pharmacy Benefit Managers (PBMs), which includes</w:t>
                      </w:r>
                      <w:r w:rsidR="00946A75">
                        <w:rPr>
                          <w:sz w:val="24"/>
                          <w:szCs w:val="24"/>
                        </w:rPr>
                        <w:t xml:space="preserve"> submitting</w:t>
                      </w:r>
                      <w:r w:rsidR="00B370B7" w:rsidRPr="00EE4227">
                        <w:rPr>
                          <w:sz w:val="24"/>
                          <w:szCs w:val="24"/>
                        </w:rPr>
                        <w:t xml:space="preserve"> an annual </w:t>
                      </w:r>
                      <w:r w:rsidR="00870B0A">
                        <w:rPr>
                          <w:sz w:val="24"/>
                          <w:szCs w:val="24"/>
                        </w:rPr>
                        <w:t xml:space="preserve">transparency report to the Insurance Department. </w:t>
                      </w:r>
                      <w:r w:rsidR="00B370B7" w:rsidRPr="00EE422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936B86" w14:textId="77777777" w:rsidR="00BC014E" w:rsidRPr="00EE4227" w:rsidRDefault="00BC014E" w:rsidP="00B370B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C9ED48" w14:textId="79811AF9" w:rsidR="00A26F4F" w:rsidRDefault="00970CF3" w:rsidP="00B370B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Beginning July 1, 2026, and annually thereafter, </w:t>
                      </w:r>
                      <w:r w:rsidR="008B5232">
                        <w:rPr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sz w:val="24"/>
                          <w:szCs w:val="24"/>
                        </w:rPr>
                        <w:t xml:space="preserve">7 of Act 77 </w:t>
                      </w:r>
                      <w:r w:rsidR="00F20DB1">
                        <w:rPr>
                          <w:sz w:val="24"/>
                          <w:szCs w:val="24"/>
                        </w:rPr>
                        <w:t xml:space="preserve">requires </w:t>
                      </w:r>
                      <w:r w:rsidR="00D64D54">
                        <w:rPr>
                          <w:sz w:val="24"/>
                          <w:szCs w:val="24"/>
                        </w:rPr>
                        <w:t xml:space="preserve">each registered PBM to submit </w:t>
                      </w:r>
                      <w:r w:rsidR="001E42F8">
                        <w:rPr>
                          <w:sz w:val="24"/>
                          <w:szCs w:val="24"/>
                        </w:rPr>
                        <w:t>to the Department</w:t>
                      </w:r>
                      <w:r w:rsidR="002B39C5">
                        <w:rPr>
                          <w:sz w:val="24"/>
                          <w:szCs w:val="24"/>
                        </w:rPr>
                        <w:t xml:space="preserve"> a transparency report which contains data for each health insurer client in the Commonwealth </w:t>
                      </w:r>
                      <w:r w:rsidR="00424797">
                        <w:rPr>
                          <w:sz w:val="24"/>
                          <w:szCs w:val="24"/>
                        </w:rPr>
                        <w:t>regarding rebates received, administrative fees received, retained rebates</w:t>
                      </w:r>
                      <w:r w:rsidR="00070FF1">
                        <w:rPr>
                          <w:sz w:val="24"/>
                          <w:szCs w:val="24"/>
                        </w:rPr>
                        <w:t xml:space="preserve">, and </w:t>
                      </w:r>
                      <w:r w:rsidR="00A26F4F">
                        <w:rPr>
                          <w:sz w:val="24"/>
                          <w:szCs w:val="24"/>
                        </w:rPr>
                        <w:t xml:space="preserve">data regarding reimbursements of affiliated entities. </w:t>
                      </w:r>
                    </w:p>
                    <w:p w14:paraId="60434E0B" w14:textId="77777777" w:rsidR="00A26F4F" w:rsidRDefault="00A26F4F" w:rsidP="00B370B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9AFB49F" w14:textId="725497CB" w:rsidR="001260E6" w:rsidRDefault="00946A75" w:rsidP="00B370B7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Submission instructions will</w:t>
                      </w:r>
                      <w:r w:rsidR="00FF3115">
                        <w:rPr>
                          <w:sz w:val="24"/>
                          <w:szCs w:val="24"/>
                        </w:rPr>
                        <w:t xml:space="preserve"> be </w:t>
                      </w:r>
                      <w:r w:rsidR="00D151FB">
                        <w:rPr>
                          <w:sz w:val="24"/>
                          <w:szCs w:val="24"/>
                        </w:rPr>
                        <w:t xml:space="preserve">announced closer to </w:t>
                      </w:r>
                      <w:r w:rsidR="00A26F4F">
                        <w:rPr>
                          <w:sz w:val="24"/>
                          <w:szCs w:val="24"/>
                        </w:rPr>
                        <w:t>July</w:t>
                      </w:r>
                      <w:r w:rsidR="00D151FB">
                        <w:rPr>
                          <w:sz w:val="24"/>
                          <w:szCs w:val="24"/>
                        </w:rPr>
                        <w:t xml:space="preserve"> 1, 2026. </w:t>
                      </w:r>
                      <w:r w:rsidR="00955AF4">
                        <w:rPr>
                          <w:sz w:val="24"/>
                          <w:szCs w:val="24"/>
                        </w:rPr>
                        <w:t xml:space="preserve">All questions </w:t>
                      </w:r>
                      <w:r w:rsidR="00A26F4F">
                        <w:rPr>
                          <w:sz w:val="24"/>
                          <w:szCs w:val="24"/>
                        </w:rPr>
                        <w:t xml:space="preserve">regarding the report </w:t>
                      </w:r>
                      <w:r w:rsidR="00955AF4">
                        <w:rPr>
                          <w:sz w:val="24"/>
                          <w:szCs w:val="24"/>
                        </w:rPr>
                        <w:t xml:space="preserve">should be submitted to the </w:t>
                      </w:r>
                      <w:r w:rsidR="00B370B7" w:rsidRPr="00EE4227">
                        <w:rPr>
                          <w:sz w:val="24"/>
                          <w:szCs w:val="24"/>
                        </w:rPr>
                        <w:t xml:space="preserve">Insurance Department </w:t>
                      </w:r>
                      <w:r w:rsidR="00955AF4">
                        <w:rPr>
                          <w:sz w:val="24"/>
                          <w:szCs w:val="24"/>
                        </w:rPr>
                        <w:t xml:space="preserve">by emailing </w:t>
                      </w:r>
                      <w:hyperlink r:id="rId14" w:history="1">
                        <w:r w:rsidR="008D5259">
                          <w:rPr>
                            <w:rStyle w:val="Hyperlink"/>
                            <w:sz w:val="24"/>
                            <w:szCs w:val="24"/>
                          </w:rPr>
                          <w:t>ra-in-pbm@pa.gov</w:t>
                        </w:r>
                      </w:hyperlink>
                      <w:r w:rsidR="00B370B7" w:rsidRPr="00EE4227">
                        <w:rPr>
                          <w:sz w:val="24"/>
                          <w:szCs w:val="24"/>
                        </w:rPr>
                        <w:t>.</w:t>
                      </w:r>
                      <w:r w:rsidR="00206BC6">
                        <w:rPr>
                          <w:sz w:val="24"/>
                          <w:szCs w:val="24"/>
                        </w:rPr>
                        <w:t xml:space="preserve"> All submissions </w:t>
                      </w:r>
                      <w:r w:rsidR="003010BE">
                        <w:rPr>
                          <w:sz w:val="24"/>
                          <w:szCs w:val="24"/>
                        </w:rPr>
                        <w:t>are</w:t>
                      </w:r>
                      <w:r w:rsidR="00206B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10BE">
                        <w:rPr>
                          <w:sz w:val="24"/>
                          <w:szCs w:val="24"/>
                        </w:rPr>
                        <w:t xml:space="preserve">privileged and will be </w:t>
                      </w:r>
                      <w:r w:rsidR="008B2DEA">
                        <w:rPr>
                          <w:sz w:val="24"/>
                          <w:szCs w:val="24"/>
                        </w:rPr>
                        <w:t xml:space="preserve">given </w:t>
                      </w:r>
                      <w:r w:rsidR="003010BE">
                        <w:rPr>
                          <w:sz w:val="24"/>
                          <w:szCs w:val="24"/>
                        </w:rPr>
                        <w:t>co</w:t>
                      </w:r>
                      <w:r w:rsidR="00206BC6">
                        <w:rPr>
                          <w:sz w:val="24"/>
                          <w:szCs w:val="24"/>
                        </w:rPr>
                        <w:t>nfidential</w:t>
                      </w:r>
                      <w:r w:rsidR="00EC524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12813">
                        <w:rPr>
                          <w:sz w:val="24"/>
                          <w:szCs w:val="24"/>
                        </w:rPr>
                        <w:t xml:space="preserve">treatment. </w:t>
                      </w:r>
                      <w:r>
                        <w:rPr>
                          <w:sz w:val="24"/>
                          <w:szCs w:val="24"/>
                        </w:rPr>
                        <w:t>Consistent with the law</w:t>
                      </w:r>
                      <w:r w:rsidR="00155FE2">
                        <w:rPr>
                          <w:sz w:val="24"/>
                          <w:szCs w:val="24"/>
                        </w:rPr>
                        <w:t>, w</w:t>
                      </w:r>
                      <w:r w:rsidR="00A30CEB">
                        <w:rPr>
                          <w:sz w:val="24"/>
                          <w:szCs w:val="24"/>
                        </w:rPr>
                        <w:t xml:space="preserve">ithin 60 days of receipt, </w:t>
                      </w:r>
                      <w:r w:rsidR="00155FE2">
                        <w:rPr>
                          <w:sz w:val="24"/>
                          <w:szCs w:val="24"/>
                        </w:rPr>
                        <w:t xml:space="preserve">the Department will </w:t>
                      </w:r>
                      <w:r w:rsidR="00FB11B0">
                        <w:rPr>
                          <w:sz w:val="24"/>
                          <w:szCs w:val="24"/>
                        </w:rPr>
                        <w:t xml:space="preserve">aggregate and deidentify the data </w:t>
                      </w:r>
                      <w:r w:rsidR="00CC2428">
                        <w:rPr>
                          <w:sz w:val="24"/>
                          <w:szCs w:val="24"/>
                        </w:rPr>
                        <w:t>to</w:t>
                      </w:r>
                      <w:r w:rsidR="00FB11B0">
                        <w:rPr>
                          <w:sz w:val="24"/>
                          <w:szCs w:val="24"/>
                        </w:rPr>
                        <w:t xml:space="preserve"> post </w:t>
                      </w:r>
                      <w:r w:rsidR="005856A9">
                        <w:rPr>
                          <w:sz w:val="24"/>
                          <w:szCs w:val="24"/>
                        </w:rPr>
                        <w:t xml:space="preserve">a transparency report </w:t>
                      </w:r>
                      <w:r w:rsidR="00FB11B0">
                        <w:rPr>
                          <w:sz w:val="24"/>
                          <w:szCs w:val="24"/>
                        </w:rPr>
                        <w:t>on:</w:t>
                      </w:r>
                      <w:r w:rsidR="00161FD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B11B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50998D" w14:textId="420E166D" w:rsidR="00E859CE" w:rsidRPr="00EE4227" w:rsidRDefault="00D157AA" w:rsidP="00B370B7">
                      <w:pPr>
                        <w:rPr>
                          <w:sz w:val="24"/>
                          <w:szCs w:val="24"/>
                        </w:rPr>
                      </w:pPr>
                      <w:hyperlink r:id="rId15" w:history="1">
                        <w:r w:rsidRPr="00AB6304">
                          <w:rPr>
                            <w:rStyle w:val="Hyperlink"/>
                          </w:rPr>
                          <w:t>https://www.pa.gov/agencies/insurance/posted-filings-reports-company-orders/posted-reports.html</w:t>
                        </w:r>
                      </w:hyperlink>
                      <w:r>
                        <w:t xml:space="preserve">. </w:t>
                      </w:r>
                      <w:r w:rsidR="00EE59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E61A7" w:rsidRPr="00161FD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724E5" w:rsidRPr="00161FD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E9F236" w14:textId="2FA49A26" w:rsidR="008E6274" w:rsidRDefault="008E6274" w:rsidP="008E6274">
      <w:pPr>
        <w:jc w:val="center"/>
        <w:rPr>
          <w:sz w:val="24"/>
          <w:szCs w:val="24"/>
        </w:rPr>
      </w:pPr>
    </w:p>
    <w:p w14:paraId="20C96BAA" w14:textId="61100023" w:rsidR="00E859CE" w:rsidRDefault="00E859CE" w:rsidP="008E6274">
      <w:pPr>
        <w:jc w:val="center"/>
        <w:rPr>
          <w:sz w:val="24"/>
          <w:szCs w:val="24"/>
        </w:rPr>
      </w:pPr>
    </w:p>
    <w:p w14:paraId="6A924249" w14:textId="77777777" w:rsidR="00E859CE" w:rsidRDefault="00E859CE" w:rsidP="008E6274">
      <w:pPr>
        <w:jc w:val="center"/>
        <w:rPr>
          <w:sz w:val="24"/>
          <w:szCs w:val="24"/>
        </w:rPr>
      </w:pPr>
    </w:p>
    <w:p w14:paraId="625E972B" w14:textId="77777777" w:rsidR="00E859CE" w:rsidRDefault="00E859CE" w:rsidP="008E6274">
      <w:pPr>
        <w:jc w:val="center"/>
        <w:rPr>
          <w:sz w:val="24"/>
          <w:szCs w:val="24"/>
        </w:rPr>
      </w:pPr>
    </w:p>
    <w:p w14:paraId="09ABE6EA" w14:textId="77777777" w:rsidR="00E859CE" w:rsidRDefault="00E859CE" w:rsidP="008E6274">
      <w:pPr>
        <w:jc w:val="center"/>
        <w:rPr>
          <w:sz w:val="24"/>
          <w:szCs w:val="24"/>
        </w:rPr>
      </w:pPr>
    </w:p>
    <w:p w14:paraId="33D8E5D6" w14:textId="40F088FD" w:rsidR="00FA6D3B" w:rsidRDefault="00545552" w:rsidP="00FA6D3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545552">
        <w:rPr>
          <w:sz w:val="24"/>
          <w:szCs w:val="24"/>
        </w:rPr>
        <w:t>lease complete the following form</w:t>
      </w:r>
      <w:r>
        <w:rPr>
          <w:sz w:val="24"/>
          <w:szCs w:val="24"/>
        </w:rPr>
        <w:t xml:space="preserve"> t</w:t>
      </w:r>
      <w:r w:rsidR="00C81797">
        <w:rPr>
          <w:sz w:val="24"/>
          <w:szCs w:val="24"/>
        </w:rPr>
        <w:t xml:space="preserve">o </w:t>
      </w:r>
      <w:r w:rsidR="005B4932">
        <w:rPr>
          <w:sz w:val="24"/>
          <w:szCs w:val="24"/>
        </w:rPr>
        <w:t xml:space="preserve">identify </w:t>
      </w:r>
      <w:r>
        <w:rPr>
          <w:sz w:val="24"/>
          <w:szCs w:val="24"/>
        </w:rPr>
        <w:t xml:space="preserve">the </w:t>
      </w:r>
      <w:r w:rsidR="00A0112C" w:rsidRPr="00A0112C">
        <w:rPr>
          <w:sz w:val="24"/>
          <w:szCs w:val="24"/>
        </w:rPr>
        <w:t>pharmacy</w:t>
      </w:r>
      <w:r w:rsidR="005B4932" w:rsidRPr="00A0112C">
        <w:rPr>
          <w:sz w:val="24"/>
          <w:szCs w:val="24"/>
        </w:rPr>
        <w:t xml:space="preserve"> </w:t>
      </w:r>
      <w:r w:rsidRPr="00A0112C">
        <w:rPr>
          <w:sz w:val="24"/>
          <w:szCs w:val="24"/>
        </w:rPr>
        <w:t xml:space="preserve">network the </w:t>
      </w:r>
      <w:r w:rsidR="00A0112C">
        <w:rPr>
          <w:sz w:val="24"/>
          <w:szCs w:val="24"/>
        </w:rPr>
        <w:t>PBM</w:t>
      </w:r>
      <w:r>
        <w:rPr>
          <w:sz w:val="24"/>
          <w:szCs w:val="24"/>
        </w:rPr>
        <w:t xml:space="preserve"> </w:t>
      </w:r>
      <w:r w:rsidR="00113AD8">
        <w:rPr>
          <w:sz w:val="24"/>
          <w:szCs w:val="24"/>
        </w:rPr>
        <w:t>current</w:t>
      </w:r>
      <w:r>
        <w:rPr>
          <w:sz w:val="24"/>
          <w:szCs w:val="24"/>
        </w:rPr>
        <w:t>ly uses</w:t>
      </w:r>
      <w:r w:rsidR="00113AD8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any anticipated</w:t>
      </w:r>
      <w:r w:rsidR="005B4932">
        <w:rPr>
          <w:sz w:val="24"/>
          <w:szCs w:val="24"/>
        </w:rPr>
        <w:t xml:space="preserve"> </w:t>
      </w:r>
      <w:r w:rsidR="00A0112C" w:rsidRPr="00A0112C">
        <w:rPr>
          <w:sz w:val="24"/>
          <w:szCs w:val="24"/>
        </w:rPr>
        <w:t>pharmacy</w:t>
      </w:r>
      <w:r w:rsidR="00113AD8" w:rsidRPr="00A0112C">
        <w:rPr>
          <w:sz w:val="24"/>
          <w:szCs w:val="24"/>
        </w:rPr>
        <w:t xml:space="preserve"> network</w:t>
      </w:r>
      <w:r w:rsidR="00113AD8">
        <w:rPr>
          <w:sz w:val="24"/>
          <w:szCs w:val="24"/>
        </w:rPr>
        <w:t xml:space="preserve"> changes</w:t>
      </w:r>
      <w:r>
        <w:rPr>
          <w:sz w:val="24"/>
          <w:szCs w:val="24"/>
        </w:rPr>
        <w:t>.</w:t>
      </w:r>
    </w:p>
    <w:p w14:paraId="72408A22" w14:textId="31002114" w:rsidR="00A42AC3" w:rsidRDefault="00A42AC3" w:rsidP="00FA6D3B">
      <w:pPr>
        <w:rPr>
          <w:sz w:val="24"/>
          <w:szCs w:val="24"/>
        </w:rPr>
      </w:pPr>
    </w:p>
    <w:p w14:paraId="27C38212" w14:textId="6BBB8C40" w:rsidR="00FA6D3B" w:rsidRDefault="0058041B" w:rsidP="008E6274">
      <w:pPr>
        <w:rPr>
          <w:sz w:val="24"/>
          <w:szCs w:val="24"/>
        </w:rPr>
      </w:pPr>
      <w:r w:rsidRPr="76511509">
        <w:rPr>
          <w:sz w:val="24"/>
          <w:szCs w:val="24"/>
        </w:rPr>
        <w:t xml:space="preserve">A completed </w:t>
      </w:r>
      <w:r w:rsidR="00A52937" w:rsidRPr="76511509">
        <w:rPr>
          <w:sz w:val="24"/>
          <w:szCs w:val="24"/>
        </w:rPr>
        <w:t>PBM</w:t>
      </w:r>
      <w:r w:rsidR="005B4932" w:rsidRPr="76511509">
        <w:rPr>
          <w:sz w:val="24"/>
          <w:szCs w:val="24"/>
        </w:rPr>
        <w:t xml:space="preserve"> </w:t>
      </w:r>
      <w:r w:rsidRPr="76511509">
        <w:rPr>
          <w:sz w:val="24"/>
          <w:szCs w:val="24"/>
        </w:rPr>
        <w:t xml:space="preserve">Network </w:t>
      </w:r>
      <w:r w:rsidR="005B4932" w:rsidRPr="76511509">
        <w:rPr>
          <w:sz w:val="24"/>
          <w:szCs w:val="24"/>
        </w:rPr>
        <w:t>Identification</w:t>
      </w:r>
      <w:r w:rsidRPr="76511509">
        <w:rPr>
          <w:sz w:val="24"/>
          <w:szCs w:val="24"/>
        </w:rPr>
        <w:t xml:space="preserve"> </w:t>
      </w:r>
      <w:r w:rsidR="00A9789A" w:rsidRPr="76511509">
        <w:rPr>
          <w:sz w:val="24"/>
          <w:szCs w:val="24"/>
        </w:rPr>
        <w:t xml:space="preserve">Filing </w:t>
      </w:r>
      <w:r w:rsidRPr="76511509">
        <w:rPr>
          <w:sz w:val="24"/>
          <w:szCs w:val="24"/>
        </w:rPr>
        <w:t xml:space="preserve">Form </w:t>
      </w:r>
      <w:r w:rsidR="007F0C54" w:rsidRPr="76511509">
        <w:rPr>
          <w:sz w:val="24"/>
          <w:szCs w:val="24"/>
        </w:rPr>
        <w:t xml:space="preserve">should be </w:t>
      </w:r>
      <w:r w:rsidRPr="76511509">
        <w:rPr>
          <w:sz w:val="24"/>
          <w:szCs w:val="24"/>
        </w:rPr>
        <w:t>submitted</w:t>
      </w:r>
      <w:r w:rsidR="005B4932" w:rsidRPr="76511509">
        <w:rPr>
          <w:sz w:val="24"/>
          <w:szCs w:val="24"/>
        </w:rPr>
        <w:t xml:space="preserve"> by the</w:t>
      </w:r>
      <w:r w:rsidR="0DC96FF1" w:rsidRPr="76511509">
        <w:rPr>
          <w:sz w:val="24"/>
          <w:szCs w:val="24"/>
        </w:rPr>
        <w:t xml:space="preserve"> PBM</w:t>
      </w:r>
      <w:r w:rsidRPr="76511509">
        <w:rPr>
          <w:sz w:val="24"/>
          <w:szCs w:val="24"/>
          <w:highlight w:val="yellow"/>
        </w:rPr>
        <w:t xml:space="preserve"> </w:t>
      </w:r>
      <w:r w:rsidR="004A3742" w:rsidRPr="76511509">
        <w:rPr>
          <w:sz w:val="24"/>
          <w:szCs w:val="24"/>
          <w:highlight w:val="yellow"/>
        </w:rPr>
        <w:t xml:space="preserve">annually </w:t>
      </w:r>
      <w:r w:rsidR="7401996D" w:rsidRPr="76511509">
        <w:rPr>
          <w:sz w:val="24"/>
          <w:szCs w:val="24"/>
          <w:highlight w:val="yellow"/>
        </w:rPr>
        <w:t>by</w:t>
      </w:r>
      <w:r w:rsidRPr="76511509">
        <w:rPr>
          <w:sz w:val="24"/>
          <w:szCs w:val="24"/>
          <w:highlight w:val="yellow"/>
        </w:rPr>
        <w:t xml:space="preserve"> </w:t>
      </w:r>
      <w:r w:rsidR="4FE24E31" w:rsidRPr="76511509">
        <w:rPr>
          <w:sz w:val="24"/>
          <w:szCs w:val="24"/>
          <w:highlight w:val="yellow"/>
        </w:rPr>
        <w:t>April 1, 2026</w:t>
      </w:r>
      <w:r w:rsidR="003B0F18">
        <w:t>.</w:t>
      </w:r>
      <w:r w:rsidR="004A3742">
        <w:t xml:space="preserve"> </w:t>
      </w:r>
    </w:p>
    <w:p w14:paraId="47B75A71" w14:textId="77777777" w:rsidR="00FA6D3B" w:rsidRDefault="00FA6D3B" w:rsidP="008E6274">
      <w:pPr>
        <w:rPr>
          <w:sz w:val="24"/>
          <w:szCs w:val="24"/>
        </w:rPr>
      </w:pPr>
    </w:p>
    <w:p w14:paraId="2CC6B08C" w14:textId="02E18780" w:rsidR="004A3742" w:rsidRPr="008A2FDC" w:rsidRDefault="006014D4" w:rsidP="008E6274">
      <w:pPr>
        <w:rPr>
          <w:sz w:val="24"/>
          <w:szCs w:val="24"/>
        </w:rPr>
      </w:pPr>
      <w:r w:rsidRPr="76511509">
        <w:rPr>
          <w:b/>
          <w:bCs/>
          <w:sz w:val="24"/>
          <w:szCs w:val="24"/>
        </w:rPr>
        <w:t xml:space="preserve">Network </w:t>
      </w:r>
      <w:r w:rsidR="00503D2A" w:rsidRPr="76511509">
        <w:rPr>
          <w:b/>
          <w:bCs/>
          <w:sz w:val="24"/>
          <w:szCs w:val="24"/>
        </w:rPr>
        <w:t>Identification</w:t>
      </w:r>
      <w:r w:rsidRPr="76511509">
        <w:rPr>
          <w:b/>
          <w:bCs/>
          <w:sz w:val="24"/>
          <w:szCs w:val="24"/>
        </w:rPr>
        <w:t xml:space="preserve">: </w:t>
      </w:r>
      <w:r w:rsidR="00503D2A" w:rsidRPr="76511509">
        <w:rPr>
          <w:sz w:val="24"/>
          <w:szCs w:val="24"/>
        </w:rPr>
        <w:t xml:space="preserve">Network name, </w:t>
      </w:r>
      <w:r w:rsidR="3616E663" w:rsidRPr="76511509">
        <w:rPr>
          <w:sz w:val="24"/>
          <w:szCs w:val="24"/>
        </w:rPr>
        <w:t>Unique ID.</w:t>
      </w:r>
    </w:p>
    <w:p w14:paraId="171BE6B8" w14:textId="77777777" w:rsidR="004A3742" w:rsidRPr="008A2FDC" w:rsidRDefault="004A3742" w:rsidP="008E6274">
      <w:pPr>
        <w:rPr>
          <w:b/>
          <w:bCs/>
          <w:sz w:val="24"/>
          <w:szCs w:val="24"/>
        </w:rPr>
      </w:pPr>
    </w:p>
    <w:p w14:paraId="490B93C2" w14:textId="64D49A6D" w:rsidR="006014D4" w:rsidRDefault="0058041B" w:rsidP="008E62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="004A3742">
        <w:rPr>
          <w:sz w:val="24"/>
          <w:szCs w:val="24"/>
        </w:rPr>
        <w:t>____________</w:t>
      </w:r>
    </w:p>
    <w:p w14:paraId="4B353119" w14:textId="77777777" w:rsidR="00503D2A" w:rsidRDefault="00503D2A" w:rsidP="008E6274">
      <w:pPr>
        <w:rPr>
          <w:sz w:val="24"/>
          <w:szCs w:val="24"/>
        </w:rPr>
      </w:pPr>
    </w:p>
    <w:p w14:paraId="45523817" w14:textId="02ACF490" w:rsidR="006014D4" w:rsidRPr="0092181C" w:rsidRDefault="0092181C" w:rsidP="0092181C">
      <w:pPr>
        <w:tabs>
          <w:tab w:val="left" w:pos="1305"/>
        </w:tabs>
        <w:rPr>
          <w:sz w:val="18"/>
          <w:szCs w:val="18"/>
        </w:rPr>
      </w:pPr>
      <w:r>
        <w:rPr>
          <w:sz w:val="24"/>
          <w:szCs w:val="24"/>
        </w:rPr>
        <w:tab/>
      </w:r>
    </w:p>
    <w:p w14:paraId="7C97B8C6" w14:textId="77777777" w:rsidR="00F311C4" w:rsidRDefault="00F311C4" w:rsidP="008E6274">
      <w:pPr>
        <w:rPr>
          <w:b/>
          <w:bCs/>
          <w:sz w:val="24"/>
          <w:szCs w:val="24"/>
        </w:rPr>
      </w:pPr>
    </w:p>
    <w:p w14:paraId="45D9F3D5" w14:textId="77777777" w:rsidR="002E54A6" w:rsidRDefault="002E54A6" w:rsidP="008E6274">
      <w:pPr>
        <w:rPr>
          <w:b/>
          <w:bCs/>
          <w:sz w:val="24"/>
          <w:szCs w:val="24"/>
        </w:rPr>
      </w:pPr>
    </w:p>
    <w:p w14:paraId="51357B63" w14:textId="3981DBCC" w:rsidR="008E6274" w:rsidRDefault="00545552" w:rsidP="008E6274">
      <w:pPr>
        <w:rPr>
          <w:sz w:val="24"/>
          <w:szCs w:val="24"/>
        </w:rPr>
      </w:pPr>
      <w:r w:rsidRPr="76511509">
        <w:rPr>
          <w:b/>
          <w:bCs/>
          <w:sz w:val="24"/>
          <w:szCs w:val="24"/>
        </w:rPr>
        <w:t>P</w:t>
      </w:r>
      <w:r w:rsidR="00A52937" w:rsidRPr="76511509">
        <w:rPr>
          <w:b/>
          <w:bCs/>
          <w:sz w:val="24"/>
          <w:szCs w:val="24"/>
        </w:rPr>
        <w:t>BM</w:t>
      </w:r>
      <w:r w:rsidRPr="76511509">
        <w:rPr>
          <w:b/>
          <w:bCs/>
          <w:sz w:val="24"/>
          <w:szCs w:val="24"/>
        </w:rPr>
        <w:t xml:space="preserve"> </w:t>
      </w:r>
      <w:r w:rsidR="008E6274" w:rsidRPr="76511509">
        <w:rPr>
          <w:b/>
          <w:bCs/>
          <w:sz w:val="24"/>
          <w:szCs w:val="24"/>
        </w:rPr>
        <w:t>Contact Information</w:t>
      </w:r>
      <w:r w:rsidR="004A3742" w:rsidRPr="76511509">
        <w:rPr>
          <w:b/>
          <w:bCs/>
          <w:sz w:val="24"/>
          <w:szCs w:val="24"/>
        </w:rPr>
        <w:t xml:space="preserve">: </w:t>
      </w:r>
      <w:r w:rsidR="0072731D">
        <w:rPr>
          <w:sz w:val="24"/>
          <w:szCs w:val="24"/>
        </w:rPr>
        <w:t xml:space="preserve"> </w:t>
      </w:r>
    </w:p>
    <w:p w14:paraId="24529345" w14:textId="0EE883D4" w:rsidR="004A3742" w:rsidRDefault="004A3742" w:rsidP="008E6274">
      <w:pPr>
        <w:rPr>
          <w:sz w:val="24"/>
          <w:szCs w:val="24"/>
        </w:rPr>
      </w:pPr>
    </w:p>
    <w:p w14:paraId="63FD7A22" w14:textId="393DAA5F" w:rsidR="00DC3826" w:rsidRDefault="007726CA" w:rsidP="008E6274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9B4723">
        <w:rPr>
          <w:sz w:val="24"/>
          <w:szCs w:val="24"/>
        </w:rPr>
        <w:t xml:space="preserve"> of PBM</w:t>
      </w:r>
      <w:r w:rsidR="00E04E4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45506356"/>
          <w:placeholder>
            <w:docPart w:val="7F3ED8051EDE434C819B4D144FDA7DCA"/>
          </w:placeholder>
          <w:showingPlcHdr/>
          <w:text/>
        </w:sdtPr>
        <w:sdtContent>
          <w:r w:rsidR="00E04E4E" w:rsidRPr="009D5B60">
            <w:rPr>
              <w:rStyle w:val="PlaceholderText"/>
            </w:rPr>
            <w:t>Click or tap here to enter text.</w:t>
          </w:r>
        </w:sdtContent>
      </w:sdt>
    </w:p>
    <w:p w14:paraId="5BB20561" w14:textId="77777777" w:rsidR="00E04E4E" w:rsidRDefault="00E04E4E" w:rsidP="008E6274">
      <w:pPr>
        <w:rPr>
          <w:sz w:val="24"/>
          <w:szCs w:val="24"/>
        </w:rPr>
      </w:pPr>
    </w:p>
    <w:p w14:paraId="0DE14583" w14:textId="58C62B19" w:rsidR="009B4723" w:rsidRDefault="009B4723" w:rsidP="008E6274">
      <w:pPr>
        <w:rPr>
          <w:sz w:val="24"/>
          <w:szCs w:val="24"/>
        </w:rPr>
      </w:pPr>
      <w:r>
        <w:rPr>
          <w:sz w:val="24"/>
          <w:szCs w:val="24"/>
        </w:rPr>
        <w:t>PBM Contact Name</w:t>
      </w:r>
      <w:r w:rsidR="002F65CD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715402204"/>
          <w:placeholder>
            <w:docPart w:val="5143A292B3FC4EC4B8A952953510182D"/>
          </w:placeholder>
          <w:showingPlcHdr/>
          <w:text/>
        </w:sdtPr>
        <w:sdtContent>
          <w:r w:rsidR="0072731D" w:rsidRPr="009D5B60">
            <w:rPr>
              <w:rStyle w:val="PlaceholderText"/>
            </w:rPr>
            <w:t>Click or tap here to enter text.</w:t>
          </w:r>
        </w:sdtContent>
      </w:sdt>
    </w:p>
    <w:p w14:paraId="303F25FE" w14:textId="77777777" w:rsidR="00E04E4E" w:rsidRDefault="00E04E4E" w:rsidP="008E6274">
      <w:pPr>
        <w:rPr>
          <w:sz w:val="24"/>
          <w:szCs w:val="24"/>
        </w:rPr>
      </w:pPr>
    </w:p>
    <w:p w14:paraId="439C21AF" w14:textId="5CBD01AE" w:rsidR="007726CA" w:rsidRDefault="007726CA" w:rsidP="008E6274">
      <w:pPr>
        <w:rPr>
          <w:sz w:val="24"/>
          <w:szCs w:val="24"/>
        </w:rPr>
      </w:pPr>
      <w:r>
        <w:rPr>
          <w:sz w:val="24"/>
          <w:szCs w:val="24"/>
        </w:rPr>
        <w:t xml:space="preserve">PBM </w:t>
      </w:r>
      <w:r w:rsidR="009B4723">
        <w:rPr>
          <w:sz w:val="24"/>
          <w:szCs w:val="24"/>
        </w:rPr>
        <w:t>Contact Email</w:t>
      </w:r>
      <w:r w:rsidR="00396D7E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1382136185"/>
          <w:placeholder>
            <w:docPart w:val="6461F4A0B2984C4F8A51EEFA273665AA"/>
          </w:placeholder>
          <w:showingPlcHdr/>
          <w:text/>
        </w:sdtPr>
        <w:sdtContent>
          <w:r w:rsidR="00396D7E" w:rsidRPr="009D5B60">
            <w:rPr>
              <w:rStyle w:val="PlaceholderText"/>
            </w:rPr>
            <w:t>Click or tap here to enter text.</w:t>
          </w:r>
        </w:sdtContent>
      </w:sdt>
    </w:p>
    <w:p w14:paraId="507A7A3B" w14:textId="0A8B1BB6" w:rsidR="003B6463" w:rsidRDefault="007273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1F629B" w14:textId="65CA61B1" w:rsidR="00273ACD" w:rsidRDefault="00946A75">
      <w:r>
        <w:t>Under</w:t>
      </w:r>
      <w:r w:rsidR="00FC483C">
        <w:t xml:space="preserve"> section 103, the transparency report data </w:t>
      </w:r>
      <w:r w:rsidR="008E1296">
        <w:t>should contain information on each h</w:t>
      </w:r>
      <w:r w:rsidR="009E2176" w:rsidRPr="009E2176">
        <w:t>ealth insurer client</w:t>
      </w:r>
      <w:r w:rsidR="008E1296">
        <w:t xml:space="preserve">, which is defined as </w:t>
      </w:r>
      <w:r w:rsidR="009E2176" w:rsidRPr="009E2176">
        <w:t xml:space="preserve">both a health insurer and a health benefit plan offered by a health insurer. </w:t>
      </w:r>
      <w:r>
        <w:t xml:space="preserve"> </w:t>
      </w:r>
    </w:p>
    <w:p w14:paraId="002CC4F3" w14:textId="77777777" w:rsidR="00E62053" w:rsidRDefault="00E62053"/>
    <w:p w14:paraId="7474C3C9" w14:textId="3C4B8D8B" w:rsidR="00240AB5" w:rsidRPr="00A04037" w:rsidRDefault="008E1296" w:rsidP="002F7F49">
      <w:r w:rsidRPr="008E1296">
        <w:t>"Health benefit plan"</w:t>
      </w:r>
      <w:r w:rsidR="00946A75">
        <w:t xml:space="preserve"> Is defined as</w:t>
      </w:r>
      <w:r w:rsidRPr="008E1296">
        <w:t xml:space="preserve"> </w:t>
      </w:r>
      <w:r w:rsidR="00946A75">
        <w:t>a</w:t>
      </w:r>
      <w:r w:rsidRPr="008E1296">
        <w:t xml:space="preserve"> policy, contract or certificate </w:t>
      </w:r>
      <w:proofErr w:type="gramStart"/>
      <w:r w:rsidRPr="008E1296">
        <w:t>entered into</w:t>
      </w:r>
      <w:proofErr w:type="gramEnd"/>
      <w:r w:rsidRPr="008E1296">
        <w:t xml:space="preserve">, offered, issued or renewed by a health insurer to provide, deliver, arrange for, pay for or reimburse any of the costs of physical, mental or behavioral health care services. </w:t>
      </w:r>
      <w:r w:rsidR="00273ACD">
        <w:t xml:space="preserve"> </w:t>
      </w:r>
      <w:r w:rsidRPr="008E1296">
        <w:t xml:space="preserve">The term does </w:t>
      </w:r>
      <w:r w:rsidRPr="00A04037">
        <w:rPr>
          <w:b/>
          <w:bCs/>
        </w:rPr>
        <w:t>not</w:t>
      </w:r>
      <w:r w:rsidRPr="008E1296">
        <w:t xml:space="preserve"> include Medicare supplement or accident only, fixed indemnity, limited benefit, credit, dental, vision, specified disease, TRICARE supplemental insurance, long-term care or disability income, </w:t>
      </w:r>
      <w:r w:rsidR="00A04037" w:rsidRPr="00A04037">
        <w:t>workers' compensation or automobile medical payment insurance.</w:t>
      </w:r>
      <w:r w:rsidRPr="008E1296">
        <w:t xml:space="preserve"> </w:t>
      </w:r>
    </w:p>
    <w:sectPr w:rsidR="00240AB5" w:rsidRPr="00A04037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4231" w14:textId="77777777" w:rsidR="00934931" w:rsidRDefault="00934931" w:rsidP="004A3742">
      <w:pPr>
        <w:spacing w:line="240" w:lineRule="auto"/>
      </w:pPr>
      <w:r>
        <w:separator/>
      </w:r>
    </w:p>
  </w:endnote>
  <w:endnote w:type="continuationSeparator" w:id="0">
    <w:p w14:paraId="5B4F7522" w14:textId="77777777" w:rsidR="00934931" w:rsidRDefault="00934931" w:rsidP="004A3742">
      <w:pPr>
        <w:spacing w:line="240" w:lineRule="auto"/>
      </w:pPr>
      <w:r>
        <w:continuationSeparator/>
      </w:r>
    </w:p>
  </w:endnote>
  <w:endnote w:type="continuationNotice" w:id="1">
    <w:p w14:paraId="43B2C928" w14:textId="77777777" w:rsidR="00934931" w:rsidRDefault="009349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C3ED" w14:textId="14129764" w:rsidR="004B00B1" w:rsidRDefault="004B00B1">
    <w:pPr>
      <w:pStyle w:val="Footer"/>
    </w:pPr>
    <w:r>
      <w:t>PA Insurance Department</w:t>
    </w:r>
    <w:r>
      <w:tab/>
    </w:r>
    <w:r>
      <w:tab/>
    </w:r>
    <w:r w:rsidR="00554863">
      <w:t>Last 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4842" w14:textId="77777777" w:rsidR="00934931" w:rsidRDefault="00934931" w:rsidP="004A3742">
      <w:pPr>
        <w:spacing w:line="240" w:lineRule="auto"/>
      </w:pPr>
      <w:r>
        <w:separator/>
      </w:r>
    </w:p>
  </w:footnote>
  <w:footnote w:type="continuationSeparator" w:id="0">
    <w:p w14:paraId="3243B903" w14:textId="77777777" w:rsidR="00934931" w:rsidRDefault="00934931" w:rsidP="004A3742">
      <w:pPr>
        <w:spacing w:line="240" w:lineRule="auto"/>
      </w:pPr>
      <w:r>
        <w:continuationSeparator/>
      </w:r>
    </w:p>
  </w:footnote>
  <w:footnote w:type="continuationNotice" w:id="1">
    <w:p w14:paraId="6500254A" w14:textId="77777777" w:rsidR="00934931" w:rsidRDefault="0093493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0D2"/>
    <w:multiLevelType w:val="hybridMultilevel"/>
    <w:tmpl w:val="4A2E5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75419"/>
    <w:multiLevelType w:val="hybridMultilevel"/>
    <w:tmpl w:val="4E46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32ADA"/>
    <w:multiLevelType w:val="hybridMultilevel"/>
    <w:tmpl w:val="2210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75944">
    <w:abstractNumId w:val="0"/>
  </w:num>
  <w:num w:numId="2" w16cid:durableId="1479298239">
    <w:abstractNumId w:val="2"/>
  </w:num>
  <w:num w:numId="3" w16cid:durableId="146453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74"/>
    <w:rsid w:val="00014A40"/>
    <w:rsid w:val="00022307"/>
    <w:rsid w:val="0003589F"/>
    <w:rsid w:val="00052E6C"/>
    <w:rsid w:val="00070FF1"/>
    <w:rsid w:val="00091E38"/>
    <w:rsid w:val="000B3E3E"/>
    <w:rsid w:val="000E42F7"/>
    <w:rsid w:val="000F2F80"/>
    <w:rsid w:val="00113AD8"/>
    <w:rsid w:val="001260E6"/>
    <w:rsid w:val="00142C05"/>
    <w:rsid w:val="00155FE2"/>
    <w:rsid w:val="00161FDA"/>
    <w:rsid w:val="001640CD"/>
    <w:rsid w:val="001B0355"/>
    <w:rsid w:val="001B0BAF"/>
    <w:rsid w:val="001C6ABB"/>
    <w:rsid w:val="001E42F8"/>
    <w:rsid w:val="00206BC6"/>
    <w:rsid w:val="00214364"/>
    <w:rsid w:val="0023496D"/>
    <w:rsid w:val="00236DDB"/>
    <w:rsid w:val="00240AB5"/>
    <w:rsid w:val="00241B46"/>
    <w:rsid w:val="00246EE4"/>
    <w:rsid w:val="0025623A"/>
    <w:rsid w:val="002668FB"/>
    <w:rsid w:val="00273ACD"/>
    <w:rsid w:val="00276529"/>
    <w:rsid w:val="00294CE8"/>
    <w:rsid w:val="002A3E92"/>
    <w:rsid w:val="002B39C5"/>
    <w:rsid w:val="002E54A6"/>
    <w:rsid w:val="002F65CD"/>
    <w:rsid w:val="002F7F49"/>
    <w:rsid w:val="003010BE"/>
    <w:rsid w:val="0031487D"/>
    <w:rsid w:val="0032640D"/>
    <w:rsid w:val="00331028"/>
    <w:rsid w:val="003541FC"/>
    <w:rsid w:val="00363D65"/>
    <w:rsid w:val="0037272C"/>
    <w:rsid w:val="0038376C"/>
    <w:rsid w:val="00384B58"/>
    <w:rsid w:val="00396D7E"/>
    <w:rsid w:val="003B0F18"/>
    <w:rsid w:val="003B20B6"/>
    <w:rsid w:val="003B6463"/>
    <w:rsid w:val="003D1508"/>
    <w:rsid w:val="003D16B6"/>
    <w:rsid w:val="003D67B5"/>
    <w:rsid w:val="003E496A"/>
    <w:rsid w:val="003E61A7"/>
    <w:rsid w:val="0040025E"/>
    <w:rsid w:val="0040613D"/>
    <w:rsid w:val="00406525"/>
    <w:rsid w:val="00410796"/>
    <w:rsid w:val="00424797"/>
    <w:rsid w:val="00464CDB"/>
    <w:rsid w:val="00467882"/>
    <w:rsid w:val="004724E5"/>
    <w:rsid w:val="00472D17"/>
    <w:rsid w:val="004844EA"/>
    <w:rsid w:val="00485CF6"/>
    <w:rsid w:val="004A3742"/>
    <w:rsid w:val="004B00B1"/>
    <w:rsid w:val="004D5DD1"/>
    <w:rsid w:val="004E26B1"/>
    <w:rsid w:val="00503D2A"/>
    <w:rsid w:val="005344E2"/>
    <w:rsid w:val="00541064"/>
    <w:rsid w:val="00545552"/>
    <w:rsid w:val="00553E87"/>
    <w:rsid w:val="00554863"/>
    <w:rsid w:val="00561723"/>
    <w:rsid w:val="00563C07"/>
    <w:rsid w:val="0056594E"/>
    <w:rsid w:val="005726F5"/>
    <w:rsid w:val="0057648C"/>
    <w:rsid w:val="00577BAA"/>
    <w:rsid w:val="0058041B"/>
    <w:rsid w:val="005856A9"/>
    <w:rsid w:val="00590183"/>
    <w:rsid w:val="005939C2"/>
    <w:rsid w:val="005B218F"/>
    <w:rsid w:val="005B4932"/>
    <w:rsid w:val="005B64BA"/>
    <w:rsid w:val="005D1773"/>
    <w:rsid w:val="005F6609"/>
    <w:rsid w:val="006014D4"/>
    <w:rsid w:val="00617FA1"/>
    <w:rsid w:val="00641331"/>
    <w:rsid w:val="00641B55"/>
    <w:rsid w:val="00685D9F"/>
    <w:rsid w:val="00687FED"/>
    <w:rsid w:val="00692F95"/>
    <w:rsid w:val="006B618D"/>
    <w:rsid w:val="006D122D"/>
    <w:rsid w:val="006F4B68"/>
    <w:rsid w:val="006F54F4"/>
    <w:rsid w:val="006F7F83"/>
    <w:rsid w:val="00701BF7"/>
    <w:rsid w:val="007130EA"/>
    <w:rsid w:val="00715E42"/>
    <w:rsid w:val="0072731D"/>
    <w:rsid w:val="0076494C"/>
    <w:rsid w:val="007726CA"/>
    <w:rsid w:val="00784087"/>
    <w:rsid w:val="007A1FD0"/>
    <w:rsid w:val="007D767E"/>
    <w:rsid w:val="007F0C54"/>
    <w:rsid w:val="007F757F"/>
    <w:rsid w:val="00800410"/>
    <w:rsid w:val="00821481"/>
    <w:rsid w:val="00823A13"/>
    <w:rsid w:val="00855028"/>
    <w:rsid w:val="00870B0A"/>
    <w:rsid w:val="00883647"/>
    <w:rsid w:val="00883988"/>
    <w:rsid w:val="008865AD"/>
    <w:rsid w:val="00886CEA"/>
    <w:rsid w:val="008A128C"/>
    <w:rsid w:val="008A2FDC"/>
    <w:rsid w:val="008A3AD8"/>
    <w:rsid w:val="008B2DEA"/>
    <w:rsid w:val="008B5232"/>
    <w:rsid w:val="008B5ADF"/>
    <w:rsid w:val="008C6A71"/>
    <w:rsid w:val="008D30B3"/>
    <w:rsid w:val="008D5259"/>
    <w:rsid w:val="008E1296"/>
    <w:rsid w:val="008E1860"/>
    <w:rsid w:val="008E575A"/>
    <w:rsid w:val="008E6274"/>
    <w:rsid w:val="00904F6A"/>
    <w:rsid w:val="0092181C"/>
    <w:rsid w:val="00924AAD"/>
    <w:rsid w:val="00933C01"/>
    <w:rsid w:val="00934931"/>
    <w:rsid w:val="00946A75"/>
    <w:rsid w:val="00955AF4"/>
    <w:rsid w:val="009609D4"/>
    <w:rsid w:val="00970CF3"/>
    <w:rsid w:val="00980786"/>
    <w:rsid w:val="009A3B34"/>
    <w:rsid w:val="009B4723"/>
    <w:rsid w:val="009D1C56"/>
    <w:rsid w:val="009D6AD8"/>
    <w:rsid w:val="009E2176"/>
    <w:rsid w:val="00A0112C"/>
    <w:rsid w:val="00A04037"/>
    <w:rsid w:val="00A168AB"/>
    <w:rsid w:val="00A23A13"/>
    <w:rsid w:val="00A26F4F"/>
    <w:rsid w:val="00A27853"/>
    <w:rsid w:val="00A30CEB"/>
    <w:rsid w:val="00A42AC3"/>
    <w:rsid w:val="00A466E7"/>
    <w:rsid w:val="00A52937"/>
    <w:rsid w:val="00A60E0E"/>
    <w:rsid w:val="00A65CF1"/>
    <w:rsid w:val="00A7416C"/>
    <w:rsid w:val="00A75815"/>
    <w:rsid w:val="00A91F82"/>
    <w:rsid w:val="00A9789A"/>
    <w:rsid w:val="00AA0BED"/>
    <w:rsid w:val="00AA1859"/>
    <w:rsid w:val="00AC0A10"/>
    <w:rsid w:val="00AE5225"/>
    <w:rsid w:val="00B12813"/>
    <w:rsid w:val="00B13BF6"/>
    <w:rsid w:val="00B1421A"/>
    <w:rsid w:val="00B21574"/>
    <w:rsid w:val="00B27300"/>
    <w:rsid w:val="00B279C9"/>
    <w:rsid w:val="00B370B7"/>
    <w:rsid w:val="00B37C8A"/>
    <w:rsid w:val="00B45454"/>
    <w:rsid w:val="00B570BA"/>
    <w:rsid w:val="00B733A0"/>
    <w:rsid w:val="00B80D4C"/>
    <w:rsid w:val="00BA6635"/>
    <w:rsid w:val="00BC014E"/>
    <w:rsid w:val="00BC0FE7"/>
    <w:rsid w:val="00BD419B"/>
    <w:rsid w:val="00BE1E1D"/>
    <w:rsid w:val="00BF0296"/>
    <w:rsid w:val="00BF4F8E"/>
    <w:rsid w:val="00C02848"/>
    <w:rsid w:val="00C05278"/>
    <w:rsid w:val="00C07D78"/>
    <w:rsid w:val="00C33C8D"/>
    <w:rsid w:val="00C34394"/>
    <w:rsid w:val="00C51267"/>
    <w:rsid w:val="00C66004"/>
    <w:rsid w:val="00C81797"/>
    <w:rsid w:val="00C85479"/>
    <w:rsid w:val="00CB5487"/>
    <w:rsid w:val="00CC1BB4"/>
    <w:rsid w:val="00CC2428"/>
    <w:rsid w:val="00CE3739"/>
    <w:rsid w:val="00CF0391"/>
    <w:rsid w:val="00CF0462"/>
    <w:rsid w:val="00D151FB"/>
    <w:rsid w:val="00D157AA"/>
    <w:rsid w:val="00D21297"/>
    <w:rsid w:val="00D28EFD"/>
    <w:rsid w:val="00D30BB0"/>
    <w:rsid w:val="00D64219"/>
    <w:rsid w:val="00D646B6"/>
    <w:rsid w:val="00D64D54"/>
    <w:rsid w:val="00D71444"/>
    <w:rsid w:val="00D753A1"/>
    <w:rsid w:val="00D9243C"/>
    <w:rsid w:val="00D96413"/>
    <w:rsid w:val="00DC3826"/>
    <w:rsid w:val="00E04E4E"/>
    <w:rsid w:val="00E205EE"/>
    <w:rsid w:val="00E3390D"/>
    <w:rsid w:val="00E36859"/>
    <w:rsid w:val="00E37133"/>
    <w:rsid w:val="00E44616"/>
    <w:rsid w:val="00E55265"/>
    <w:rsid w:val="00E62053"/>
    <w:rsid w:val="00E703E8"/>
    <w:rsid w:val="00E8169C"/>
    <w:rsid w:val="00E859CE"/>
    <w:rsid w:val="00EB441D"/>
    <w:rsid w:val="00EC5249"/>
    <w:rsid w:val="00ED2D6E"/>
    <w:rsid w:val="00ED5462"/>
    <w:rsid w:val="00ED7123"/>
    <w:rsid w:val="00EE3A9A"/>
    <w:rsid w:val="00EE4227"/>
    <w:rsid w:val="00EE592F"/>
    <w:rsid w:val="00EF0144"/>
    <w:rsid w:val="00F01C3D"/>
    <w:rsid w:val="00F07721"/>
    <w:rsid w:val="00F10E28"/>
    <w:rsid w:val="00F20DB1"/>
    <w:rsid w:val="00F26298"/>
    <w:rsid w:val="00F311C4"/>
    <w:rsid w:val="00F35A4F"/>
    <w:rsid w:val="00F47503"/>
    <w:rsid w:val="00F718B8"/>
    <w:rsid w:val="00F8488A"/>
    <w:rsid w:val="00F97463"/>
    <w:rsid w:val="00FA4660"/>
    <w:rsid w:val="00FA6C79"/>
    <w:rsid w:val="00FA6D3B"/>
    <w:rsid w:val="00FB0203"/>
    <w:rsid w:val="00FB11B0"/>
    <w:rsid w:val="00FC3563"/>
    <w:rsid w:val="00FC483C"/>
    <w:rsid w:val="00FC4B45"/>
    <w:rsid w:val="00FD2AB7"/>
    <w:rsid w:val="00FE7642"/>
    <w:rsid w:val="00FF3115"/>
    <w:rsid w:val="00FF5B13"/>
    <w:rsid w:val="00FF631C"/>
    <w:rsid w:val="04CC1BA6"/>
    <w:rsid w:val="0DC96FF1"/>
    <w:rsid w:val="0E2370BA"/>
    <w:rsid w:val="0E60E35E"/>
    <w:rsid w:val="1125377B"/>
    <w:rsid w:val="1509EC55"/>
    <w:rsid w:val="179F9052"/>
    <w:rsid w:val="1E17C585"/>
    <w:rsid w:val="1F86B434"/>
    <w:rsid w:val="2107EBE7"/>
    <w:rsid w:val="22D0D1B0"/>
    <w:rsid w:val="24C36423"/>
    <w:rsid w:val="281A990E"/>
    <w:rsid w:val="2849205B"/>
    <w:rsid w:val="2ABE43FC"/>
    <w:rsid w:val="2BE0811F"/>
    <w:rsid w:val="2F435A30"/>
    <w:rsid w:val="2F6A7D43"/>
    <w:rsid w:val="309428C8"/>
    <w:rsid w:val="3238B12A"/>
    <w:rsid w:val="3616E663"/>
    <w:rsid w:val="368490B5"/>
    <w:rsid w:val="36B06029"/>
    <w:rsid w:val="37F8DBD8"/>
    <w:rsid w:val="412B91EC"/>
    <w:rsid w:val="42E50B1B"/>
    <w:rsid w:val="44A657FC"/>
    <w:rsid w:val="4540E04B"/>
    <w:rsid w:val="4AABB5F1"/>
    <w:rsid w:val="4ECEFB44"/>
    <w:rsid w:val="4ED1A08F"/>
    <w:rsid w:val="4FE24E31"/>
    <w:rsid w:val="5210C2A0"/>
    <w:rsid w:val="5345C3E2"/>
    <w:rsid w:val="553D3ACB"/>
    <w:rsid w:val="5545AE9B"/>
    <w:rsid w:val="56E1D2AD"/>
    <w:rsid w:val="576CE48A"/>
    <w:rsid w:val="5DB39EAB"/>
    <w:rsid w:val="6287A763"/>
    <w:rsid w:val="67041B02"/>
    <w:rsid w:val="6998543C"/>
    <w:rsid w:val="6A33BDAA"/>
    <w:rsid w:val="6BF9EBE6"/>
    <w:rsid w:val="6C8B5387"/>
    <w:rsid w:val="731463DA"/>
    <w:rsid w:val="73790D7A"/>
    <w:rsid w:val="7401996D"/>
    <w:rsid w:val="7633A554"/>
    <w:rsid w:val="76511509"/>
    <w:rsid w:val="7A0DAF42"/>
    <w:rsid w:val="7B27A447"/>
    <w:rsid w:val="7CEAB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B7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7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37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742"/>
  </w:style>
  <w:style w:type="paragraph" w:styleId="Footer">
    <w:name w:val="footer"/>
    <w:basedOn w:val="Normal"/>
    <w:link w:val="FooterChar"/>
    <w:uiPriority w:val="99"/>
    <w:unhideWhenUsed/>
    <w:rsid w:val="004A37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742"/>
  </w:style>
  <w:style w:type="paragraph" w:styleId="ListParagraph">
    <w:name w:val="List Paragraph"/>
    <w:basedOn w:val="Normal"/>
    <w:uiPriority w:val="34"/>
    <w:qFormat/>
    <w:rsid w:val="004E26B1"/>
    <w:pPr>
      <w:ind w:left="720"/>
      <w:contextualSpacing/>
    </w:pPr>
  </w:style>
  <w:style w:type="table" w:styleId="TableGrid">
    <w:name w:val="Table Grid"/>
    <w:basedOn w:val="TableNormal"/>
    <w:uiPriority w:val="39"/>
    <w:rsid w:val="00052E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5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D9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04E4E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06B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6A75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46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.gov/agencies/insurance/posted-filings-reports-company-orders/posted-reports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-pbm@p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a.gov/agencies/insurance/posted-filings-reports-company-orders/posted-reports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-pbm@p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ED8051EDE434C819B4D144FDA7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33A23-6A83-4284-91F1-5066BAD10EAC}"/>
      </w:docPartPr>
      <w:docPartBody>
        <w:p w:rsidR="00FE73A8" w:rsidRDefault="00FE73A8" w:rsidP="00FE73A8">
          <w:pPr>
            <w:pStyle w:val="7F3ED8051EDE434C819B4D144FDA7DCA1"/>
          </w:pPr>
          <w:r w:rsidRPr="009D5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3A292B3FC4EC4B8A9529535101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3C7EB-7032-47A8-BD25-7A35DBDFF2E6}"/>
      </w:docPartPr>
      <w:docPartBody>
        <w:p w:rsidR="00FE73A8" w:rsidRDefault="00FE73A8" w:rsidP="00FE73A8">
          <w:pPr>
            <w:pStyle w:val="5143A292B3FC4EC4B8A952953510182D1"/>
          </w:pPr>
          <w:r w:rsidRPr="009D5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1F4A0B2984C4F8A51EEFA2736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1BAEE-513B-4B4E-862A-71586178197C}"/>
      </w:docPartPr>
      <w:docPartBody>
        <w:p w:rsidR="00FE73A8" w:rsidRDefault="00FE73A8" w:rsidP="00FE73A8">
          <w:pPr>
            <w:pStyle w:val="6461F4A0B2984C4F8A51EEFA273665AA1"/>
          </w:pPr>
          <w:r w:rsidRPr="009D5B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A8"/>
    <w:rsid w:val="000F2F80"/>
    <w:rsid w:val="00103E4C"/>
    <w:rsid w:val="00590183"/>
    <w:rsid w:val="00784087"/>
    <w:rsid w:val="00800410"/>
    <w:rsid w:val="00876564"/>
    <w:rsid w:val="00933C01"/>
    <w:rsid w:val="00944A57"/>
    <w:rsid w:val="00A0206D"/>
    <w:rsid w:val="00CC2AC1"/>
    <w:rsid w:val="00CF0462"/>
    <w:rsid w:val="00F01C3D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3A8"/>
    <w:rPr>
      <w:color w:val="666666"/>
    </w:rPr>
  </w:style>
  <w:style w:type="paragraph" w:customStyle="1" w:styleId="7F3ED8051EDE434C819B4D144FDA7DCA1">
    <w:name w:val="7F3ED8051EDE434C819B4D144FDA7DCA1"/>
    <w:rsid w:val="00FE73A8"/>
    <w:pPr>
      <w:spacing w:after="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43A292B3FC4EC4B8A952953510182D1">
    <w:name w:val="5143A292B3FC4EC4B8A952953510182D1"/>
    <w:rsid w:val="00FE73A8"/>
    <w:pPr>
      <w:spacing w:after="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461F4A0B2984C4F8A51EEFA273665AA1">
    <w:name w:val="6461F4A0B2984C4F8A51EEFA273665AA1"/>
    <w:rsid w:val="00FE73A8"/>
    <w:pPr>
      <w:spacing w:after="0"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7860AC87DB64A93E59D02AC9DA070" ma:contentTypeVersion="4" ma:contentTypeDescription="Create a new document." ma:contentTypeScope="" ma:versionID="e5b3024b7e822be8eddd7d712fd2e04f">
  <xsd:schema xmlns:xsd="http://www.w3.org/2001/XMLSchema" xmlns:xs="http://www.w3.org/2001/XMLSchema" xmlns:p="http://schemas.microsoft.com/office/2006/metadata/properties" xmlns:ns2="610b6534-ae9c-40f2-beea-fa6dc77644e5" targetNamespace="http://schemas.microsoft.com/office/2006/metadata/properties" ma:root="true" ma:fieldsID="30a23df0116a3ec2c038a4307af2b2a0" ns2:_="">
    <xsd:import namespace="610b6534-ae9c-40f2-beea-fa6dc7764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b6534-ae9c-40f2-beea-fa6dc776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FC97-015A-4AA0-BF7B-8E01B736A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0963C1-B354-4B07-9024-113C4A1C9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b6534-ae9c-40f2-beea-fa6dc7764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83512-F883-4EF0-9B10-ADF021EED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12087-79E9-4FE4-82D1-2C88C40D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1113</Characters>
  <Application>Microsoft Office Word</Application>
  <DocSecurity>0</DocSecurity>
  <Lines>19</Lines>
  <Paragraphs>9</Paragraphs>
  <ScaleCrop>false</ScaleCrop>
  <Company/>
  <LinksUpToDate>false</LinksUpToDate>
  <CharactersWithSpaces>1308</CharactersWithSpaces>
  <SharedDoc>false</SharedDoc>
  <HLinks>
    <vt:vector size="18" baseType="variant"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https://www.pa.gov/agencies/insurance/posted-filings-reports-company-orders.html</vt:lpwstr>
      </vt:variant>
      <vt:variant>
        <vt:lpwstr/>
      </vt:variant>
      <vt:variant>
        <vt:i4>1114177</vt:i4>
      </vt:variant>
      <vt:variant>
        <vt:i4>3</vt:i4>
      </vt:variant>
      <vt:variant>
        <vt:i4>0</vt:i4>
      </vt:variant>
      <vt:variant>
        <vt:i4>5</vt:i4>
      </vt:variant>
      <vt:variant>
        <vt:lpwstr>https://www.pa.gov/agencies/insurance/posted-filings-reports-company-orders.html</vt:lpwstr>
      </vt:variant>
      <vt:variant>
        <vt:lpwstr/>
      </vt:variant>
      <vt:variant>
        <vt:i4>7602184</vt:i4>
      </vt:variant>
      <vt:variant>
        <vt:i4>0</vt:i4>
      </vt:variant>
      <vt:variant>
        <vt:i4>0</vt:i4>
      </vt:variant>
      <vt:variant>
        <vt:i4>5</vt:i4>
      </vt:variant>
      <vt:variant>
        <vt:lpwstr>mailto:in-pbm@pa.gov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2025-06-17T13:59:00Z</dcterms:created>
  <dcterms:modified xsi:type="dcterms:W3CDTF">2025-06-17T14:04:00Z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0x01010094E7860AC87DB64A93E59D02AC9DA070</vt:lpwstr>
  </property>
</Properties>
</file>