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B5EB" w14:textId="08D5AFE6" w:rsidR="00305A1A" w:rsidRDefault="00305A1A" w:rsidP="00305A1A">
      <w:pPr>
        <w:jc w:val="center"/>
        <w:rPr>
          <w:b/>
          <w:bCs/>
          <w:sz w:val="32"/>
          <w:szCs w:val="32"/>
        </w:rPr>
      </w:pPr>
      <w:r w:rsidRPr="00761893">
        <w:rPr>
          <w:rFonts w:cs="Arial"/>
          <w:noProof/>
        </w:rPr>
        <w:drawing>
          <wp:inline distT="0" distB="0" distL="0" distR="0" wp14:anchorId="08C9AE86" wp14:editId="3C390559">
            <wp:extent cx="2907665" cy="685800"/>
            <wp:effectExtent l="0" t="0" r="6985" b="0"/>
            <wp:docPr id="58" name="Picture 58" descr="Keystone logo with graduation cap inside, Pennsylvania Department of Education" title="Pennsylvani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E Official Logo - 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66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0150C" w14:textId="77777777" w:rsidR="00305A1A" w:rsidRDefault="00305A1A" w:rsidP="00305A1A">
      <w:pPr>
        <w:jc w:val="center"/>
        <w:rPr>
          <w:b/>
          <w:bCs/>
          <w:sz w:val="32"/>
          <w:szCs w:val="32"/>
        </w:rPr>
      </w:pPr>
    </w:p>
    <w:p w14:paraId="0CCBEF58" w14:textId="559624EE" w:rsidR="00305A1A" w:rsidRPr="00305A1A" w:rsidRDefault="00305A1A" w:rsidP="00305A1A">
      <w:pPr>
        <w:jc w:val="center"/>
        <w:rPr>
          <w:b/>
          <w:bCs/>
          <w:sz w:val="36"/>
          <w:szCs w:val="36"/>
        </w:rPr>
      </w:pPr>
      <w:r w:rsidRPr="00305A1A">
        <w:rPr>
          <w:b/>
          <w:bCs/>
          <w:sz w:val="36"/>
          <w:szCs w:val="36"/>
        </w:rPr>
        <w:t xml:space="preserve">SLIFE </w:t>
      </w:r>
      <w:r w:rsidRPr="000D03C7">
        <w:rPr>
          <w:b/>
          <w:bCs/>
          <w:i/>
          <w:iCs/>
          <w:sz w:val="36"/>
          <w:szCs w:val="36"/>
        </w:rPr>
        <w:t>Quick Reference</w:t>
      </w:r>
      <w:r w:rsidRPr="00305A1A">
        <w:rPr>
          <w:b/>
          <w:bCs/>
          <w:sz w:val="36"/>
          <w:szCs w:val="36"/>
        </w:rPr>
        <w:t>: Definition</w:t>
      </w:r>
      <w:r w:rsidR="00A160BF">
        <w:rPr>
          <w:b/>
          <w:bCs/>
          <w:sz w:val="36"/>
          <w:szCs w:val="36"/>
        </w:rPr>
        <w:t xml:space="preserve"> and </w:t>
      </w:r>
      <w:r w:rsidRPr="00305A1A">
        <w:rPr>
          <w:b/>
          <w:bCs/>
          <w:sz w:val="36"/>
          <w:szCs w:val="36"/>
        </w:rPr>
        <w:t>Instructional</w:t>
      </w:r>
      <w:r w:rsidR="00A160BF">
        <w:rPr>
          <w:b/>
          <w:bCs/>
          <w:sz w:val="36"/>
          <w:szCs w:val="36"/>
        </w:rPr>
        <w:t>/Program</w:t>
      </w:r>
      <w:r w:rsidRPr="00305A1A">
        <w:rPr>
          <w:b/>
          <w:bCs/>
          <w:sz w:val="36"/>
          <w:szCs w:val="36"/>
        </w:rPr>
        <w:t xml:space="preserve"> Considerations</w:t>
      </w:r>
    </w:p>
    <w:p w14:paraId="0592FE07" w14:textId="77777777" w:rsidR="00305A1A" w:rsidRDefault="00305A1A" w:rsidP="00305A1A">
      <w:pPr>
        <w:rPr>
          <w:b/>
          <w:bCs/>
        </w:rPr>
      </w:pPr>
    </w:p>
    <w:p w14:paraId="06A9B746" w14:textId="19D46E2A" w:rsidR="00305A1A" w:rsidRPr="00874E4E" w:rsidRDefault="00305A1A" w:rsidP="00305A1A">
      <w:pPr>
        <w:rPr>
          <w:b/>
          <w:bCs/>
          <w:color w:val="215E99" w:themeColor="text2" w:themeTint="BF"/>
          <w:sz w:val="24"/>
          <w:szCs w:val="24"/>
        </w:rPr>
      </w:pPr>
      <w:r w:rsidRPr="00874E4E">
        <w:rPr>
          <w:b/>
          <w:bCs/>
          <w:color w:val="215E99" w:themeColor="text2" w:themeTint="BF"/>
          <w:sz w:val="24"/>
          <w:szCs w:val="24"/>
        </w:rPr>
        <w:t>Who Are SLIFE?</w:t>
      </w:r>
    </w:p>
    <w:p w14:paraId="37E8A3AA" w14:textId="77777777" w:rsidR="00305A1A" w:rsidRPr="00305A1A" w:rsidRDefault="00305A1A" w:rsidP="00305A1A">
      <w:r w:rsidRPr="00305A1A">
        <w:t>Students with Limited or Interrupted Formal Education (SLIFE) are English Learners who:</w:t>
      </w:r>
    </w:p>
    <w:p w14:paraId="72DB832D" w14:textId="2C5C2DCC" w:rsidR="00305A1A" w:rsidRPr="004E0673" w:rsidRDefault="00305A1A" w:rsidP="00305A1A">
      <w:pPr>
        <w:numPr>
          <w:ilvl w:val="0"/>
          <w:numId w:val="1"/>
        </w:numPr>
      </w:pPr>
      <w:r w:rsidRPr="00305A1A">
        <w:t xml:space="preserve">Have fewer </w:t>
      </w:r>
      <w:r w:rsidRPr="004E0673">
        <w:t>than two years of age-appropriate, curriculum-based schooling, OR</w:t>
      </w:r>
    </w:p>
    <w:p w14:paraId="6A444E0E" w14:textId="350B11F6" w:rsidR="00305A1A" w:rsidRPr="004E0673" w:rsidRDefault="00305A1A" w:rsidP="00305A1A">
      <w:pPr>
        <w:numPr>
          <w:ilvl w:val="0"/>
          <w:numId w:val="1"/>
        </w:numPr>
      </w:pPr>
      <w:proofErr w:type="gramStart"/>
      <w:r w:rsidRPr="004E0673">
        <w:t>Have</w:t>
      </w:r>
      <w:proofErr w:type="gramEnd"/>
      <w:r w:rsidRPr="004E0673">
        <w:t xml:space="preserve"> experienced extended interruptions in schooling (migration, displacement, re-enrollment abroad), AND</w:t>
      </w:r>
    </w:p>
    <w:p w14:paraId="597360E7" w14:textId="709D5917" w:rsidR="00305A1A" w:rsidRPr="00305A1A" w:rsidRDefault="00305A1A" w:rsidP="00305A1A">
      <w:pPr>
        <w:numPr>
          <w:ilvl w:val="0"/>
          <w:numId w:val="1"/>
        </w:numPr>
      </w:pPr>
      <w:r w:rsidRPr="004E0673">
        <w:t xml:space="preserve">Demonstrate gaps in literacy, numeracy, </w:t>
      </w:r>
      <w:r w:rsidR="00A70E02">
        <w:t>and/</w:t>
      </w:r>
      <w:r w:rsidRPr="004E0673">
        <w:t>or academic knowledge compared</w:t>
      </w:r>
      <w:r w:rsidRPr="00305A1A">
        <w:t xml:space="preserve"> with grade-level peers.</w:t>
      </w:r>
    </w:p>
    <w:p w14:paraId="3A595463" w14:textId="77777777" w:rsidR="00305A1A" w:rsidRPr="00305A1A" w:rsidRDefault="0030199B" w:rsidP="00305A1A">
      <w:r>
        <w:pict w14:anchorId="6F3B4C5B">
          <v:rect id="_x0000_i1025" style="width:0;height:1.5pt" o:hralign="center" o:hrstd="t" o:hr="t" fillcolor="#a0a0a0" stroked="f"/>
        </w:pict>
      </w:r>
    </w:p>
    <w:p w14:paraId="100724F9" w14:textId="4946140D" w:rsidR="00305A1A" w:rsidRPr="00874E4E" w:rsidRDefault="00305A1A" w:rsidP="00305A1A">
      <w:pPr>
        <w:rPr>
          <w:b/>
          <w:bCs/>
          <w:color w:val="215E99" w:themeColor="text2" w:themeTint="BF"/>
          <w:sz w:val="24"/>
          <w:szCs w:val="24"/>
        </w:rPr>
      </w:pPr>
      <w:r w:rsidRPr="00874E4E">
        <w:rPr>
          <w:b/>
          <w:bCs/>
          <w:color w:val="215E99" w:themeColor="text2" w:themeTint="BF"/>
          <w:sz w:val="24"/>
          <w:szCs w:val="24"/>
        </w:rPr>
        <w:t xml:space="preserve">Identification </w:t>
      </w:r>
      <w:r w:rsidR="00874E4E" w:rsidRPr="00874E4E">
        <w:rPr>
          <w:b/>
          <w:bCs/>
          <w:color w:val="215E99" w:themeColor="text2" w:themeTint="BF"/>
          <w:sz w:val="24"/>
          <w:szCs w:val="24"/>
        </w:rPr>
        <w:t xml:space="preserve">criteria </w:t>
      </w:r>
      <w:r w:rsidRPr="00874E4E">
        <w:rPr>
          <w:b/>
          <w:bCs/>
          <w:color w:val="215E99" w:themeColor="text2" w:themeTint="BF"/>
          <w:sz w:val="24"/>
          <w:szCs w:val="24"/>
        </w:rPr>
        <w:t>in PA</w:t>
      </w:r>
    </w:p>
    <w:p w14:paraId="7D22111C" w14:textId="3FB3734E" w:rsidR="00305A1A" w:rsidRPr="00305A1A" w:rsidRDefault="00305A1A" w:rsidP="00305A1A">
      <w:r w:rsidRPr="00305A1A">
        <w:t>A student may be identified as SLIFE if they meet all of the following</w:t>
      </w:r>
      <w:r w:rsidR="00B43AAB">
        <w:t xml:space="preserve"> (</w:t>
      </w:r>
      <w:r w:rsidR="00937357">
        <w:t xml:space="preserve">this is contained in the full </w:t>
      </w:r>
      <w:hyperlink r:id="rId8" w:history="1">
        <w:r w:rsidR="00601DFA" w:rsidRPr="00582395">
          <w:rPr>
            <w:rStyle w:val="Hyperlink"/>
          </w:rPr>
          <w:t xml:space="preserve">K-12 </w:t>
        </w:r>
        <w:r w:rsidR="00937357" w:rsidRPr="00582395">
          <w:rPr>
            <w:rStyle w:val="Hyperlink"/>
          </w:rPr>
          <w:t xml:space="preserve">identification </w:t>
        </w:r>
        <w:r w:rsidR="00601DFA" w:rsidRPr="00582395">
          <w:rPr>
            <w:rStyle w:val="Hyperlink"/>
          </w:rPr>
          <w:t>procedure</w:t>
        </w:r>
      </w:hyperlink>
      <w:r w:rsidR="00601DFA">
        <w:t>)</w:t>
      </w:r>
      <w:r w:rsidRPr="00305A1A">
        <w:t>:</w:t>
      </w:r>
    </w:p>
    <w:p w14:paraId="467E83A4" w14:textId="77777777" w:rsidR="004E0673" w:rsidRDefault="004E0673" w:rsidP="004E0673">
      <w:pPr>
        <w:pStyle w:val="ListParagraph"/>
        <w:numPr>
          <w:ilvl w:val="0"/>
          <w:numId w:val="12"/>
        </w:numPr>
      </w:pPr>
      <w:r w:rsidRPr="004E0673">
        <w:t>Is enrolling after grade two, AND</w:t>
      </w:r>
    </w:p>
    <w:p w14:paraId="2732761B" w14:textId="77777777" w:rsidR="004E0673" w:rsidRPr="004E0673" w:rsidRDefault="004E0673" w:rsidP="004E0673">
      <w:pPr>
        <w:pStyle w:val="ListParagraph"/>
        <w:rPr>
          <w:sz w:val="12"/>
          <w:szCs w:val="12"/>
        </w:rPr>
      </w:pPr>
    </w:p>
    <w:p w14:paraId="62ABDFA0" w14:textId="4AF849D8" w:rsidR="004E0673" w:rsidRDefault="004E0673" w:rsidP="004E0673">
      <w:pPr>
        <w:pStyle w:val="ListParagraph"/>
        <w:numPr>
          <w:ilvl w:val="0"/>
          <w:numId w:val="12"/>
        </w:numPr>
      </w:pPr>
      <w:r w:rsidRPr="004E0673">
        <w:t xml:space="preserve">Has a </w:t>
      </w:r>
      <w:r w:rsidR="007912C8" w:rsidRPr="004E0673">
        <w:t>literacy</w:t>
      </w:r>
      <w:r w:rsidRPr="004E0673">
        <w:t xml:space="preserve"> score of less than 3.5 on the MODEL Screener or WIDA Screener, AND</w:t>
      </w:r>
    </w:p>
    <w:p w14:paraId="6A400E4D" w14:textId="77777777" w:rsidR="004E0673" w:rsidRPr="004E0673" w:rsidRDefault="004E0673" w:rsidP="004E0673">
      <w:pPr>
        <w:pStyle w:val="ListParagraph"/>
        <w:rPr>
          <w:sz w:val="12"/>
          <w:szCs w:val="12"/>
        </w:rPr>
      </w:pPr>
    </w:p>
    <w:p w14:paraId="79993E84" w14:textId="3A3EB18F" w:rsidR="004E0673" w:rsidRDefault="004E0673" w:rsidP="004E0673">
      <w:pPr>
        <w:pStyle w:val="ListParagraph"/>
        <w:numPr>
          <w:ilvl w:val="0"/>
          <w:numId w:val="12"/>
        </w:numPr>
      </w:pPr>
      <w:r w:rsidRPr="004E0673">
        <w:t xml:space="preserve">Has at least two fewer years of age-appropriate schooling than peers </w:t>
      </w:r>
      <w:r w:rsidRPr="004E0673">
        <w:rPr>
          <w:b/>
        </w:rPr>
        <w:t xml:space="preserve">or </w:t>
      </w:r>
      <w:r w:rsidRPr="004E0673">
        <w:t>has disenrolled from U.S. schools to enroll in schools in other countries (including Puerto Rico) more than two times in the past four years, AN</w:t>
      </w:r>
      <w:r>
        <w:t>D</w:t>
      </w:r>
    </w:p>
    <w:p w14:paraId="3BB96544" w14:textId="77777777" w:rsidR="004E0673" w:rsidRPr="004E0673" w:rsidRDefault="004E0673" w:rsidP="004E0673">
      <w:pPr>
        <w:pStyle w:val="ListParagraph"/>
        <w:rPr>
          <w:sz w:val="12"/>
          <w:szCs w:val="12"/>
        </w:rPr>
      </w:pPr>
    </w:p>
    <w:p w14:paraId="310B2E8E" w14:textId="77777777" w:rsidR="004E0673" w:rsidRPr="004E0673" w:rsidRDefault="004E0673" w:rsidP="004E0673">
      <w:pPr>
        <w:pStyle w:val="ListParagraph"/>
        <w:numPr>
          <w:ilvl w:val="0"/>
          <w:numId w:val="12"/>
        </w:numPr>
      </w:pPr>
      <w:r w:rsidRPr="004E0673">
        <w:t>Has limited encoding/decoding skills in their native language (as indicated by the family</w:t>
      </w:r>
      <w:r w:rsidRPr="004E0673">
        <w:rPr>
          <w:spacing w:val="-34"/>
        </w:rPr>
        <w:t xml:space="preserve"> </w:t>
      </w:r>
      <w:r w:rsidRPr="004E0673">
        <w:t>interview and/or native language measures and/or review of academic</w:t>
      </w:r>
      <w:r w:rsidRPr="004E0673">
        <w:rPr>
          <w:spacing w:val="-23"/>
        </w:rPr>
        <w:t xml:space="preserve"> </w:t>
      </w:r>
      <w:r w:rsidRPr="004E0673">
        <w:t>records and/or local measures)</w:t>
      </w:r>
    </w:p>
    <w:p w14:paraId="79E428FB" w14:textId="77777777" w:rsidR="00305A1A" w:rsidRPr="00305A1A" w:rsidRDefault="00305A1A" w:rsidP="00305A1A">
      <w:r w:rsidRPr="00305A1A">
        <w:rPr>
          <w:b/>
          <w:bCs/>
        </w:rPr>
        <w:t>Tools:</w:t>
      </w:r>
      <w:r w:rsidRPr="00305A1A">
        <w:t xml:space="preserve"> Records review, family/student interviews, screeners, observations.</w:t>
      </w:r>
    </w:p>
    <w:p w14:paraId="410517E6" w14:textId="645B7745" w:rsidR="00305A1A" w:rsidRPr="00305A1A" w:rsidRDefault="00305A1A" w:rsidP="00305A1A"/>
    <w:p w14:paraId="039ACA9C" w14:textId="77777777" w:rsidR="00874E4E" w:rsidRDefault="00874E4E">
      <w:pPr>
        <w:rPr>
          <w:b/>
          <w:bCs/>
        </w:rPr>
      </w:pPr>
      <w:r>
        <w:rPr>
          <w:b/>
          <w:bCs/>
        </w:rPr>
        <w:br w:type="page"/>
      </w:r>
    </w:p>
    <w:p w14:paraId="7B72AFFD" w14:textId="49455355" w:rsidR="00305A1A" w:rsidRPr="00874E4E" w:rsidRDefault="00305A1A" w:rsidP="00305A1A">
      <w:pPr>
        <w:rPr>
          <w:b/>
          <w:bCs/>
          <w:color w:val="215E99" w:themeColor="text2" w:themeTint="BF"/>
          <w:sz w:val="24"/>
          <w:szCs w:val="24"/>
        </w:rPr>
      </w:pPr>
      <w:r w:rsidRPr="00874E4E">
        <w:rPr>
          <w:b/>
          <w:bCs/>
          <w:color w:val="215E99" w:themeColor="text2" w:themeTint="BF"/>
          <w:sz w:val="24"/>
          <w:szCs w:val="24"/>
        </w:rPr>
        <w:t>Instructional Principles</w:t>
      </w:r>
    </w:p>
    <w:p w14:paraId="70E44C8D" w14:textId="77777777" w:rsidR="003974AB" w:rsidRDefault="00305A1A" w:rsidP="00305A1A">
      <w:pPr>
        <w:numPr>
          <w:ilvl w:val="0"/>
          <w:numId w:val="3"/>
        </w:numPr>
      </w:pPr>
      <w:r w:rsidRPr="00305A1A">
        <w:rPr>
          <w:b/>
          <w:bCs/>
        </w:rPr>
        <w:t>Accelerate, don’t remediate.</w:t>
      </w:r>
      <w:r w:rsidRPr="00305A1A">
        <w:t xml:space="preserve"> </w:t>
      </w:r>
    </w:p>
    <w:p w14:paraId="79D66A27" w14:textId="3198D374" w:rsidR="00305A1A" w:rsidRPr="00305A1A" w:rsidRDefault="00305A1A" w:rsidP="003974AB">
      <w:pPr>
        <w:numPr>
          <w:ilvl w:val="1"/>
          <w:numId w:val="3"/>
        </w:numPr>
      </w:pPr>
      <w:r w:rsidRPr="00305A1A">
        <w:t>Keep students in age-appropriate grades while filling gaps.</w:t>
      </w:r>
      <w:r w:rsidR="003974AB">
        <w:t xml:space="preserve"> It is inappropriate to place a SLIFE in a lower grade level </w:t>
      </w:r>
      <w:r w:rsidR="00083B02">
        <w:t>to receive appropriate academic instruction</w:t>
      </w:r>
      <w:r w:rsidR="00701184">
        <w:t xml:space="preserve">, even though instruction might </w:t>
      </w:r>
      <w:r w:rsidR="00294A08">
        <w:t xml:space="preserve">need to </w:t>
      </w:r>
      <w:r w:rsidR="00701184">
        <w:t>cover standards from lower grades</w:t>
      </w:r>
      <w:r w:rsidR="00083B02">
        <w:t xml:space="preserve">. </w:t>
      </w:r>
    </w:p>
    <w:p w14:paraId="1B4E8EBD" w14:textId="490595EC" w:rsidR="00305A1A" w:rsidRDefault="003974AB" w:rsidP="00305A1A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SLIFE </w:t>
      </w:r>
      <w:r w:rsidR="00305A1A" w:rsidRPr="00305A1A">
        <w:rPr>
          <w:b/>
          <w:bCs/>
        </w:rPr>
        <w:t>May need modifications to academic content along with language</w:t>
      </w:r>
      <w:r w:rsidR="00D270EB">
        <w:rPr>
          <w:b/>
          <w:bCs/>
        </w:rPr>
        <w:t xml:space="preserve"> support</w:t>
      </w:r>
    </w:p>
    <w:p w14:paraId="69A814F2" w14:textId="1964BBA5" w:rsidR="007C2E40" w:rsidRDefault="007C2E40" w:rsidP="007C2E40">
      <w:pPr>
        <w:numPr>
          <w:ilvl w:val="1"/>
          <w:numId w:val="3"/>
        </w:numPr>
      </w:pPr>
      <w:r w:rsidRPr="007C2E40">
        <w:t xml:space="preserve">ELs </w:t>
      </w:r>
      <w:r w:rsidRPr="007C2E40">
        <w:rPr>
          <w:i/>
          <w:iCs/>
        </w:rPr>
        <w:t>without</w:t>
      </w:r>
      <w:r w:rsidRPr="007C2E40">
        <w:t xml:space="preserve"> limited or interrupted schooling </w:t>
      </w:r>
      <w:r>
        <w:t xml:space="preserve">must </w:t>
      </w:r>
      <w:r w:rsidRPr="007C2E40">
        <w:t xml:space="preserve">receive instruction aligned to grade-level content standards. SLIFE, however, may need instruction tied to lower-grade standards to address gaps in skills and knowledge. The goal is to meet them where they are while planning intentionally for </w:t>
      </w:r>
      <w:r w:rsidR="007D1CDB" w:rsidRPr="00B80344">
        <w:rPr>
          <w:i/>
          <w:iCs/>
        </w:rPr>
        <w:t>accelerated</w:t>
      </w:r>
      <w:r w:rsidR="007D1CDB">
        <w:t xml:space="preserve"> </w:t>
      </w:r>
      <w:r w:rsidRPr="007C2E40">
        <w:t>progress toward grade-level proficiency across all content areas.</w:t>
      </w:r>
      <w:r w:rsidR="00D270EB">
        <w:t xml:space="preserve"> </w:t>
      </w:r>
    </w:p>
    <w:p w14:paraId="31B35414" w14:textId="2C6CEC0A" w:rsidR="00305A1A" w:rsidRDefault="00305A1A" w:rsidP="00305A1A">
      <w:pPr>
        <w:numPr>
          <w:ilvl w:val="0"/>
          <w:numId w:val="3"/>
        </w:numPr>
      </w:pPr>
      <w:r w:rsidRPr="00305A1A">
        <w:rPr>
          <w:b/>
          <w:bCs/>
        </w:rPr>
        <w:t>Integrate language and content.</w:t>
      </w:r>
      <w:r w:rsidRPr="00305A1A">
        <w:t xml:space="preserve"> </w:t>
      </w:r>
    </w:p>
    <w:p w14:paraId="2ECB39BD" w14:textId="25C15709" w:rsidR="00694E8F" w:rsidRPr="00305A1A" w:rsidRDefault="00694E8F" w:rsidP="00694E8F">
      <w:pPr>
        <w:numPr>
          <w:ilvl w:val="1"/>
          <w:numId w:val="3"/>
        </w:numPr>
      </w:pPr>
      <w:r>
        <w:t xml:space="preserve">SLIFE are </w:t>
      </w:r>
      <w:r w:rsidR="003320D3">
        <w:t>a subgroup of English learners</w:t>
      </w:r>
      <w:r>
        <w:t xml:space="preserve">, so appropriate language instruction along with content instruction is necessary. </w:t>
      </w:r>
    </w:p>
    <w:p w14:paraId="634C29CA" w14:textId="439D92BA" w:rsidR="00093878" w:rsidRDefault="00305A1A" w:rsidP="00DE1C85">
      <w:pPr>
        <w:numPr>
          <w:ilvl w:val="0"/>
          <w:numId w:val="3"/>
        </w:numPr>
      </w:pPr>
      <w:r w:rsidRPr="00305A1A">
        <w:rPr>
          <w:b/>
          <w:bCs/>
        </w:rPr>
        <w:t>Provide explicit literacy support.</w:t>
      </w:r>
      <w:r w:rsidRPr="00305A1A">
        <w:t xml:space="preserve"> Teach both decoding and comprehension.</w:t>
      </w:r>
      <w:r w:rsidR="00DE1C85">
        <w:t xml:space="preserve"> SLIFE often </w:t>
      </w:r>
      <w:proofErr w:type="gramStart"/>
      <w:r w:rsidR="00DE1C85">
        <w:t>have</w:t>
      </w:r>
      <w:proofErr w:type="gramEnd"/>
      <w:r w:rsidR="00DE1C85">
        <w:t xml:space="preserve"> limited literacy skills. Explicit instruction in these skills may be necessary. Examples include:</w:t>
      </w:r>
    </w:p>
    <w:p w14:paraId="7BEC18F9" w14:textId="0AE466A2" w:rsidR="00093878" w:rsidRDefault="00093878" w:rsidP="003D0D0E">
      <w:pPr>
        <w:numPr>
          <w:ilvl w:val="1"/>
          <w:numId w:val="3"/>
        </w:numPr>
      </w:pPr>
      <w:r>
        <w:t>Decoding: Direct phonics instruction, phonem</w:t>
      </w:r>
      <w:r w:rsidR="00314996">
        <w:t>ic</w:t>
      </w:r>
      <w:r>
        <w:t xml:space="preserve"> awareness, syllable segmentation, word building with common prefixes/suffixes.</w:t>
      </w:r>
    </w:p>
    <w:p w14:paraId="2B870C8F" w14:textId="77777777" w:rsidR="00093878" w:rsidRDefault="00093878" w:rsidP="003D0D0E">
      <w:pPr>
        <w:numPr>
          <w:ilvl w:val="1"/>
          <w:numId w:val="3"/>
        </w:numPr>
      </w:pPr>
      <w:r>
        <w:t>Fluency: Repeated reading of short passages, choral reading, paired reading with peers.</w:t>
      </w:r>
    </w:p>
    <w:p w14:paraId="76F9866A" w14:textId="77777777" w:rsidR="00093878" w:rsidRDefault="00093878" w:rsidP="003D0D0E">
      <w:pPr>
        <w:numPr>
          <w:ilvl w:val="1"/>
          <w:numId w:val="3"/>
        </w:numPr>
      </w:pPr>
      <w:r>
        <w:t>Comprehension: Modeling “think-</w:t>
      </w:r>
      <w:proofErr w:type="spellStart"/>
      <w:r>
        <w:t>alouds</w:t>
      </w:r>
      <w:proofErr w:type="spellEnd"/>
      <w:r>
        <w:t>,” teaching text structures (narrative vs. expository), using graphic organizers, summarization practice.</w:t>
      </w:r>
    </w:p>
    <w:p w14:paraId="5DA680C0" w14:textId="432663D8" w:rsidR="00093878" w:rsidRDefault="00093878" w:rsidP="003D0D0E">
      <w:pPr>
        <w:numPr>
          <w:ilvl w:val="1"/>
          <w:numId w:val="3"/>
        </w:numPr>
      </w:pPr>
      <w:r>
        <w:t xml:space="preserve">Vocabulary: Pre-teaching high-utility academic words, </w:t>
      </w:r>
      <w:r w:rsidR="00F97907">
        <w:t>semantics and knowledge-building</w:t>
      </w:r>
      <w:r>
        <w:t xml:space="preserve">, </w:t>
      </w:r>
      <w:r w:rsidR="004E7C92">
        <w:t xml:space="preserve">affixing and </w:t>
      </w:r>
      <w:r>
        <w:t>connecting cognates where possible.</w:t>
      </w:r>
    </w:p>
    <w:p w14:paraId="093FFEC6" w14:textId="154545D1" w:rsidR="004E0673" w:rsidRDefault="004E0673" w:rsidP="004E0673">
      <w:pPr>
        <w:ind w:left="1440"/>
      </w:pPr>
      <w:r>
        <w:rPr>
          <w:noProof/>
        </w:rPr>
        <mc:AlternateContent>
          <mc:Choice Requires="wps">
            <w:drawing>
              <wp:inline distT="0" distB="0" distL="0" distR="0" wp14:anchorId="1D94217E" wp14:editId="25F91FCC">
                <wp:extent cx="4808220" cy="853440"/>
                <wp:effectExtent l="0" t="0" r="0" b="3810"/>
                <wp:docPr id="8483186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853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A8C66" w14:textId="5BCAADB7" w:rsidR="004E0673" w:rsidRPr="0070445C" w:rsidRDefault="0070445C" w:rsidP="0070445C">
                            <w:pPr>
                              <w:rPr>
                                <w:color w:val="000000" w:themeColor="text1"/>
                              </w:rPr>
                            </w:pPr>
                            <w:r w:rsidRPr="0070445C">
                              <w:rPr>
                                <w:b/>
                                <w:bCs/>
                                <w:color w:val="000000" w:themeColor="text1"/>
                              </w:rPr>
                              <w:t>NOTE:</w:t>
                            </w:r>
                            <w:r w:rsidRPr="0070445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0445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It may be necessary for a reading specialist or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similarly</w:t>
                            </w:r>
                            <w:r w:rsidRPr="0070445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trained professional to provide literacy support to SLIFE. Districts should consider </w:t>
                            </w:r>
                            <w:r w:rsidR="00A37977">
                              <w:rPr>
                                <w:i/>
                                <w:iCs/>
                                <w:color w:val="000000" w:themeColor="text1"/>
                              </w:rPr>
                              <w:t>ways to make</w:t>
                            </w:r>
                            <w:r w:rsidRPr="0070445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this support available, especially at the secondary level, where such services are often less common.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4217E" id="Rectangle 1" o:spid="_x0000_s1026" style="width:378.6pt;height: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" fillcolor="#c1e4f5 [660]" stroked="f" strokeweight="1pt">
                <v:textbox>
                  <w:txbxContent>
                    <w:p w14:paraId="589A8C66" w14:textId="5BCAADB7" w:rsidR="004E0673" w:rsidRPr="0070445C" w:rsidRDefault="0070445C" w:rsidP="0070445C">
                      <w:pPr>
                        <w:rPr>
                          <w:color w:val="000000" w:themeColor="text1"/>
                        </w:rPr>
                      </w:pPr>
                      <w:r w:rsidRPr="0070445C">
                        <w:rPr>
                          <w:b/>
                          <w:bCs/>
                          <w:color w:val="000000" w:themeColor="text1"/>
                        </w:rPr>
                        <w:t>NOTE:</w:t>
                      </w:r>
                      <w:r w:rsidRPr="0070445C">
                        <w:rPr>
                          <w:color w:val="000000" w:themeColor="text1"/>
                        </w:rPr>
                        <w:t xml:space="preserve"> </w:t>
                      </w:r>
                      <w:r w:rsidRPr="0070445C">
                        <w:rPr>
                          <w:i/>
                          <w:iCs/>
                          <w:color w:val="000000" w:themeColor="text1"/>
                        </w:rPr>
                        <w:t xml:space="preserve">It may be necessary for a reading specialist or </w:t>
                      </w:r>
                      <w:r>
                        <w:rPr>
                          <w:i/>
                          <w:iCs/>
                          <w:color w:val="000000" w:themeColor="text1"/>
                        </w:rPr>
                        <w:t>similarly</w:t>
                      </w:r>
                      <w:r w:rsidRPr="0070445C">
                        <w:rPr>
                          <w:i/>
                          <w:iCs/>
                          <w:color w:val="000000" w:themeColor="text1"/>
                        </w:rPr>
                        <w:t xml:space="preserve"> trained professional to provide literacy support to SLIFE. Districts should consider </w:t>
                      </w:r>
                      <w:r w:rsidR="00A37977">
                        <w:rPr>
                          <w:i/>
                          <w:iCs/>
                          <w:color w:val="000000" w:themeColor="text1"/>
                        </w:rPr>
                        <w:t>ways to make</w:t>
                      </w:r>
                      <w:r w:rsidRPr="0070445C">
                        <w:rPr>
                          <w:i/>
                          <w:iCs/>
                          <w:color w:val="000000" w:themeColor="text1"/>
                        </w:rPr>
                        <w:t xml:space="preserve"> this support available, especially at the secondary level, where such services are often less common.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E27C584" w14:textId="77777777" w:rsidR="00305A1A" w:rsidRPr="00305A1A" w:rsidRDefault="00305A1A" w:rsidP="00305A1A">
      <w:pPr>
        <w:numPr>
          <w:ilvl w:val="0"/>
          <w:numId w:val="3"/>
        </w:numPr>
      </w:pPr>
      <w:r w:rsidRPr="00305A1A">
        <w:rPr>
          <w:b/>
          <w:bCs/>
        </w:rPr>
        <w:t>Leverage home languages.</w:t>
      </w:r>
      <w:r w:rsidRPr="00305A1A">
        <w:t xml:space="preserve"> Translanguaging, bilingual resources, peer supports.</w:t>
      </w:r>
    </w:p>
    <w:p w14:paraId="36D15051" w14:textId="77777777" w:rsidR="00305A1A" w:rsidRPr="00305A1A" w:rsidRDefault="00305A1A" w:rsidP="00305A1A">
      <w:pPr>
        <w:numPr>
          <w:ilvl w:val="0"/>
          <w:numId w:val="3"/>
        </w:numPr>
      </w:pPr>
      <w:r w:rsidRPr="00305A1A">
        <w:rPr>
          <w:b/>
          <w:bCs/>
        </w:rPr>
        <w:t>Use multimodal strategies.</w:t>
      </w:r>
      <w:r w:rsidRPr="00305A1A">
        <w:t xml:space="preserve"> Visuals, hands-on tasks, realia.</w:t>
      </w:r>
    </w:p>
    <w:p w14:paraId="1702F477" w14:textId="02589313" w:rsidR="00874E4E" w:rsidRDefault="00874E4E">
      <w:r>
        <w:br w:type="page"/>
      </w:r>
    </w:p>
    <w:p w14:paraId="6769462E" w14:textId="77777777" w:rsidR="00305A1A" w:rsidRPr="00874E4E" w:rsidRDefault="00305A1A" w:rsidP="00305A1A">
      <w:pPr>
        <w:rPr>
          <w:b/>
          <w:bCs/>
          <w:color w:val="215E99" w:themeColor="text2" w:themeTint="BF"/>
          <w:sz w:val="24"/>
          <w:szCs w:val="24"/>
        </w:rPr>
      </w:pPr>
      <w:r w:rsidRPr="00874E4E">
        <w:rPr>
          <w:b/>
          <w:bCs/>
          <w:color w:val="215E99" w:themeColor="text2" w:themeTint="BF"/>
          <w:sz w:val="24"/>
          <w:szCs w:val="24"/>
        </w:rPr>
        <w:t>Secondary &amp; Program Considerations</w:t>
      </w:r>
    </w:p>
    <w:p w14:paraId="4CB64174" w14:textId="2991FB39" w:rsidR="00305A1A" w:rsidRPr="00305A1A" w:rsidRDefault="0070445C" w:rsidP="00305A1A">
      <w:pPr>
        <w:numPr>
          <w:ilvl w:val="0"/>
          <w:numId w:val="4"/>
        </w:numPr>
      </w:pPr>
      <w:r w:rsidRPr="0070445C">
        <w:rPr>
          <w:b/>
          <w:bCs/>
        </w:rPr>
        <w:t xml:space="preserve">Credit accrual: </w:t>
      </w:r>
      <w:r w:rsidRPr="0070445C">
        <w:t xml:space="preserve">Award partial or competency-based credit </w:t>
      </w:r>
      <w:r w:rsidR="00DD6717">
        <w:t xml:space="preserve">at the time of enrollment </w:t>
      </w:r>
      <w:r w:rsidRPr="0070445C">
        <w:t xml:space="preserve">where possible. </w:t>
      </w:r>
      <w:r w:rsidR="008A6E05">
        <w:t xml:space="preserve">Consider </w:t>
      </w:r>
      <w:r w:rsidR="00083C67">
        <w:t xml:space="preserve">assessing knowledge and skills </w:t>
      </w:r>
      <w:r w:rsidR="00E95BCA">
        <w:t xml:space="preserve">with local </w:t>
      </w:r>
      <w:r w:rsidR="00416AB1">
        <w:t xml:space="preserve">or other purchased </w:t>
      </w:r>
      <w:r w:rsidR="00E95BCA">
        <w:t xml:space="preserve">assessments </w:t>
      </w:r>
      <w:r w:rsidR="00DD6717">
        <w:t xml:space="preserve">if available </w:t>
      </w:r>
      <w:r w:rsidR="00F3357A">
        <w:t xml:space="preserve">to award credit. </w:t>
      </w:r>
      <w:r w:rsidRPr="0070445C">
        <w:t>When determining a student’s knowledge and skills, districts may consider both formal education and relevant lived experiences.</w:t>
      </w:r>
      <w:r w:rsidR="00C075D2">
        <w:t xml:space="preserve"> </w:t>
      </w:r>
    </w:p>
    <w:p w14:paraId="06F9EAD1" w14:textId="77777777" w:rsidR="00305A1A" w:rsidRPr="00305A1A" w:rsidRDefault="00305A1A" w:rsidP="00305A1A">
      <w:pPr>
        <w:numPr>
          <w:ilvl w:val="0"/>
          <w:numId w:val="4"/>
        </w:numPr>
      </w:pPr>
      <w:r w:rsidRPr="00305A1A">
        <w:rPr>
          <w:b/>
          <w:bCs/>
        </w:rPr>
        <w:t>Flexible scheduling:</w:t>
      </w:r>
      <w:r w:rsidRPr="00305A1A">
        <w:t xml:space="preserve"> Extended day, summer school, online options.</w:t>
      </w:r>
    </w:p>
    <w:p w14:paraId="3CB20814" w14:textId="433AEEAC" w:rsidR="00305A1A" w:rsidRPr="00305A1A" w:rsidRDefault="00305A1A" w:rsidP="00305A1A">
      <w:pPr>
        <w:numPr>
          <w:ilvl w:val="0"/>
          <w:numId w:val="4"/>
        </w:numPr>
      </w:pPr>
      <w:r w:rsidRPr="00305A1A">
        <w:rPr>
          <w:b/>
          <w:bCs/>
        </w:rPr>
        <w:t>Placement:</w:t>
      </w:r>
      <w:r w:rsidRPr="00305A1A">
        <w:t xml:space="preserve"> Do not place older SLIFE </w:t>
      </w:r>
      <w:r w:rsidR="002D074D">
        <w:t>outside of age-appropriate grad</w:t>
      </w:r>
      <w:r w:rsidR="00416AB1">
        <w:t>es</w:t>
      </w:r>
      <w:r w:rsidRPr="00305A1A">
        <w:t>.</w:t>
      </w:r>
    </w:p>
    <w:p w14:paraId="14ECAAEE" w14:textId="77777777" w:rsidR="00305A1A" w:rsidRPr="00305A1A" w:rsidRDefault="00305A1A" w:rsidP="00305A1A">
      <w:pPr>
        <w:numPr>
          <w:ilvl w:val="0"/>
          <w:numId w:val="4"/>
        </w:numPr>
      </w:pPr>
      <w:r w:rsidRPr="00305A1A">
        <w:rPr>
          <w:b/>
          <w:bCs/>
        </w:rPr>
        <w:t>Support structures:</w:t>
      </w:r>
      <w:r w:rsidRPr="00305A1A">
        <w:t xml:space="preserve"> Newcomer programs, co-teaching, after-school tutoring, mentoring.</w:t>
      </w:r>
    </w:p>
    <w:p w14:paraId="566620C3" w14:textId="77777777" w:rsidR="00305A1A" w:rsidRPr="00305A1A" w:rsidRDefault="0030199B" w:rsidP="00305A1A">
      <w:r>
        <w:pict w14:anchorId="31CB3257">
          <v:rect id="_x0000_i1026" style="width:0;height:1.5pt" o:hralign="center" o:hrstd="t" o:hr="t" fillcolor="#a0a0a0" stroked="f"/>
        </w:pict>
      </w:r>
    </w:p>
    <w:p w14:paraId="2703AA70" w14:textId="77777777" w:rsidR="00305A1A" w:rsidRPr="00874E4E" w:rsidRDefault="00305A1A" w:rsidP="00305A1A">
      <w:pPr>
        <w:rPr>
          <w:b/>
          <w:bCs/>
          <w:color w:val="215E99" w:themeColor="text2" w:themeTint="BF"/>
          <w:sz w:val="24"/>
          <w:szCs w:val="24"/>
        </w:rPr>
      </w:pPr>
      <w:r w:rsidRPr="00874E4E">
        <w:rPr>
          <w:b/>
          <w:bCs/>
          <w:color w:val="215E99" w:themeColor="text2" w:themeTint="BF"/>
          <w:sz w:val="24"/>
          <w:szCs w:val="24"/>
        </w:rPr>
        <w:t>Social-Emotional Supports</w:t>
      </w:r>
    </w:p>
    <w:p w14:paraId="52AE5D1C" w14:textId="77777777" w:rsidR="00305A1A" w:rsidRPr="00305A1A" w:rsidRDefault="00305A1A" w:rsidP="00305A1A">
      <w:pPr>
        <w:numPr>
          <w:ilvl w:val="0"/>
          <w:numId w:val="5"/>
        </w:numPr>
      </w:pPr>
      <w:r w:rsidRPr="00305A1A">
        <w:t>Build belonging and safety.</w:t>
      </w:r>
    </w:p>
    <w:p w14:paraId="31D893AB" w14:textId="77777777" w:rsidR="00874E4E" w:rsidRDefault="00874E4E" w:rsidP="00874E4E">
      <w:pPr>
        <w:numPr>
          <w:ilvl w:val="0"/>
          <w:numId w:val="5"/>
        </w:numPr>
      </w:pPr>
      <w:r>
        <w:t>Teach the “hidden curriculum” (school routines, academic skills).</w:t>
      </w:r>
    </w:p>
    <w:p w14:paraId="5CA5D3B2" w14:textId="407A70A1" w:rsidR="00874E4E" w:rsidRDefault="00874E4E" w:rsidP="00874E4E">
      <w:pPr>
        <w:numPr>
          <w:ilvl w:val="1"/>
          <w:numId w:val="5"/>
        </w:numPr>
        <w:tabs>
          <w:tab w:val="clear" w:pos="1440"/>
        </w:tabs>
        <w:ind w:left="1170"/>
      </w:pPr>
      <w:r>
        <w:t xml:space="preserve">SLIFE often </w:t>
      </w:r>
      <w:proofErr w:type="gramStart"/>
      <w:r>
        <w:t>require</w:t>
      </w:r>
      <w:proofErr w:type="gramEnd"/>
      <w:r>
        <w:t xml:space="preserve"> </w:t>
      </w:r>
      <w:proofErr w:type="gramStart"/>
      <w:r>
        <w:t>explicit instruction</w:t>
      </w:r>
      <w:proofErr w:type="gramEnd"/>
      <w:r>
        <w:t xml:space="preserve"> in aspects of schooling that other students and educators may take for granted, such as:</w:t>
      </w:r>
    </w:p>
    <w:p w14:paraId="60B745EE" w14:textId="77777777" w:rsidR="00874E4E" w:rsidRDefault="00874E4E" w:rsidP="00874E4E">
      <w:pPr>
        <w:numPr>
          <w:ilvl w:val="2"/>
          <w:numId w:val="5"/>
        </w:numPr>
        <w:tabs>
          <w:tab w:val="clear" w:pos="2160"/>
        </w:tabs>
        <w:spacing w:after="120" w:line="240" w:lineRule="auto"/>
        <w:ind w:left="1627"/>
      </w:pPr>
      <w:r>
        <w:t>Navigating school schedules and rotating classes</w:t>
      </w:r>
    </w:p>
    <w:p w14:paraId="7202955F" w14:textId="77777777" w:rsidR="00874E4E" w:rsidRDefault="00874E4E" w:rsidP="00874E4E">
      <w:pPr>
        <w:numPr>
          <w:ilvl w:val="2"/>
          <w:numId w:val="5"/>
        </w:numPr>
        <w:tabs>
          <w:tab w:val="clear" w:pos="2160"/>
        </w:tabs>
        <w:spacing w:after="120" w:line="240" w:lineRule="auto"/>
        <w:ind w:left="1627"/>
      </w:pPr>
      <w:r>
        <w:t>Understanding homework routines and expectations for independent practice</w:t>
      </w:r>
    </w:p>
    <w:p w14:paraId="68295C83" w14:textId="77777777" w:rsidR="00874E4E" w:rsidRDefault="00874E4E" w:rsidP="00874E4E">
      <w:pPr>
        <w:numPr>
          <w:ilvl w:val="2"/>
          <w:numId w:val="5"/>
        </w:numPr>
        <w:tabs>
          <w:tab w:val="clear" w:pos="2160"/>
        </w:tabs>
        <w:spacing w:after="120" w:line="240" w:lineRule="auto"/>
        <w:ind w:left="1627"/>
      </w:pPr>
      <w:r>
        <w:t>Learning instructional norms (turn-taking, raising hands, group work roles)</w:t>
      </w:r>
    </w:p>
    <w:p w14:paraId="15CF094D" w14:textId="77777777" w:rsidR="00874E4E" w:rsidRDefault="00874E4E" w:rsidP="00874E4E">
      <w:pPr>
        <w:numPr>
          <w:ilvl w:val="2"/>
          <w:numId w:val="5"/>
        </w:numPr>
        <w:tabs>
          <w:tab w:val="clear" w:pos="2160"/>
        </w:tabs>
        <w:spacing w:after="120" w:line="240" w:lineRule="auto"/>
        <w:ind w:left="1627"/>
      </w:pPr>
      <w:r>
        <w:t>Using school systems and materials (lockers, IDs, technology platforms, cafeteria routines)</w:t>
      </w:r>
    </w:p>
    <w:p w14:paraId="42A47E2D" w14:textId="43D0818D" w:rsidR="00874E4E" w:rsidRDefault="00874E4E" w:rsidP="00874E4E">
      <w:pPr>
        <w:numPr>
          <w:ilvl w:val="2"/>
          <w:numId w:val="5"/>
        </w:numPr>
        <w:tabs>
          <w:tab w:val="clear" w:pos="2160"/>
        </w:tabs>
        <w:spacing w:after="120" w:line="240" w:lineRule="auto"/>
        <w:ind w:left="1627"/>
      </w:pPr>
      <w:r>
        <w:t xml:space="preserve">Developing academic skills like </w:t>
      </w:r>
      <w:r w:rsidR="00395FB7">
        <w:t>notetaking</w:t>
      </w:r>
      <w:r>
        <w:t>, test-taking strategies, and asking for help</w:t>
      </w:r>
    </w:p>
    <w:p w14:paraId="7F7732B1" w14:textId="716114D8" w:rsidR="00305A1A" w:rsidRPr="00305A1A" w:rsidRDefault="00305A1A" w:rsidP="00305A1A">
      <w:pPr>
        <w:numPr>
          <w:ilvl w:val="0"/>
          <w:numId w:val="5"/>
        </w:numPr>
      </w:pPr>
      <w:r w:rsidRPr="00305A1A">
        <w:t xml:space="preserve">Recognize and </w:t>
      </w:r>
      <w:r w:rsidR="001164D8">
        <w:t>incorporate</w:t>
      </w:r>
      <w:r w:rsidRPr="00305A1A">
        <w:t xml:space="preserve"> cultural knowledge</w:t>
      </w:r>
      <w:r w:rsidR="001164D8">
        <w:t xml:space="preserve"> </w:t>
      </w:r>
      <w:r w:rsidR="00DB73BD">
        <w:t>whenever</w:t>
      </w:r>
      <w:r w:rsidR="001164D8">
        <w:t xml:space="preserve"> possible</w:t>
      </w:r>
      <w:r w:rsidRPr="00305A1A">
        <w:t>.</w:t>
      </w:r>
    </w:p>
    <w:p w14:paraId="1AE0A62A" w14:textId="77777777" w:rsidR="00305A1A" w:rsidRPr="00305A1A" w:rsidRDefault="0030199B" w:rsidP="00305A1A">
      <w:r>
        <w:pict w14:anchorId="5B56F8EA">
          <v:rect id="_x0000_i1027" style="width:0;height:1.5pt" o:hralign="center" o:hrstd="t" o:hr="t" fillcolor="#a0a0a0" stroked="f"/>
        </w:pict>
      </w:r>
    </w:p>
    <w:p w14:paraId="37536875" w14:textId="77777777" w:rsidR="00305A1A" w:rsidRPr="00874E4E" w:rsidRDefault="00305A1A" w:rsidP="00305A1A">
      <w:pPr>
        <w:rPr>
          <w:b/>
          <w:bCs/>
          <w:color w:val="215E99" w:themeColor="text2" w:themeTint="BF"/>
          <w:sz w:val="24"/>
          <w:szCs w:val="24"/>
        </w:rPr>
      </w:pPr>
      <w:r w:rsidRPr="00874E4E">
        <w:rPr>
          <w:b/>
          <w:bCs/>
          <w:color w:val="215E99" w:themeColor="text2" w:themeTint="BF"/>
          <w:sz w:val="24"/>
          <w:szCs w:val="24"/>
        </w:rPr>
        <w:t>Key Takeaways</w:t>
      </w:r>
    </w:p>
    <w:p w14:paraId="15DB2A1F" w14:textId="77777777" w:rsidR="00305A1A" w:rsidRPr="00305A1A" w:rsidRDefault="00305A1A" w:rsidP="00305A1A">
      <w:pPr>
        <w:numPr>
          <w:ilvl w:val="0"/>
          <w:numId w:val="6"/>
        </w:numPr>
      </w:pPr>
      <w:r w:rsidRPr="00305A1A">
        <w:t>SLIFE = unique needs, not deficits.</w:t>
      </w:r>
    </w:p>
    <w:p w14:paraId="13EBA408" w14:textId="4DE3AF9D" w:rsidR="00305A1A" w:rsidRPr="00305A1A" w:rsidRDefault="00305A1A" w:rsidP="00305A1A">
      <w:pPr>
        <w:numPr>
          <w:ilvl w:val="0"/>
          <w:numId w:val="6"/>
        </w:numPr>
      </w:pPr>
      <w:r w:rsidRPr="00305A1A">
        <w:t xml:space="preserve">Identification requires </w:t>
      </w:r>
      <w:r w:rsidRPr="00874E4E">
        <w:t>multiple data sources</w:t>
      </w:r>
      <w:r w:rsidRPr="00305A1A">
        <w:t>.</w:t>
      </w:r>
      <w:r w:rsidR="00AD0ED7">
        <w:t xml:space="preserve"> It’s critical to </w:t>
      </w:r>
      <w:r w:rsidR="007D38FA">
        <w:t xml:space="preserve">investigate the academic background and experiences of SLIFE to determine needs. </w:t>
      </w:r>
    </w:p>
    <w:p w14:paraId="5200864B" w14:textId="77777777" w:rsidR="00305A1A" w:rsidRPr="00305A1A" w:rsidRDefault="00305A1A" w:rsidP="00305A1A">
      <w:pPr>
        <w:numPr>
          <w:ilvl w:val="0"/>
          <w:numId w:val="6"/>
        </w:numPr>
      </w:pPr>
      <w:r w:rsidRPr="00305A1A">
        <w:t xml:space="preserve">Instruction = </w:t>
      </w:r>
      <w:r w:rsidRPr="00874E4E">
        <w:t xml:space="preserve">accelerated, scaffolded, and </w:t>
      </w:r>
      <w:proofErr w:type="gramStart"/>
      <w:r w:rsidRPr="00874E4E">
        <w:t>asset-based</w:t>
      </w:r>
      <w:proofErr w:type="gramEnd"/>
      <w:r w:rsidRPr="00874E4E">
        <w:t>.</w:t>
      </w:r>
    </w:p>
    <w:p w14:paraId="792CDEB5" w14:textId="140862D3" w:rsidR="00305A1A" w:rsidRPr="00305A1A" w:rsidRDefault="00305A1A" w:rsidP="00305A1A">
      <w:pPr>
        <w:numPr>
          <w:ilvl w:val="0"/>
          <w:numId w:val="6"/>
        </w:numPr>
      </w:pPr>
      <w:r w:rsidRPr="00305A1A">
        <w:t>Program flexibility ensures access to graduation and</w:t>
      </w:r>
      <w:r w:rsidR="00F745F6">
        <w:t>/or</w:t>
      </w:r>
      <w:r w:rsidRPr="00305A1A">
        <w:t xml:space="preserve"> postsecondary pathways.</w:t>
      </w:r>
    </w:p>
    <w:p w14:paraId="4968C26F" w14:textId="229E40C9" w:rsidR="00874E4E" w:rsidRDefault="00874E4E">
      <w:r>
        <w:br w:type="page"/>
      </w:r>
    </w:p>
    <w:p w14:paraId="5F0A4F8D" w14:textId="599CA47A" w:rsidR="005347E5" w:rsidRDefault="00305A1A">
      <w:pPr>
        <w:rPr>
          <w:b/>
          <w:bCs/>
        </w:rPr>
      </w:pPr>
      <w:r w:rsidRPr="00305A1A">
        <w:rPr>
          <w:b/>
          <w:bCs/>
        </w:rPr>
        <w:t>Resourc</w:t>
      </w:r>
      <w:r w:rsidR="00F745F6">
        <w:rPr>
          <w:b/>
          <w:bCs/>
        </w:rPr>
        <w:t>es</w:t>
      </w:r>
    </w:p>
    <w:p w14:paraId="55DC2184" w14:textId="77777777" w:rsidR="000D56D9" w:rsidRDefault="000D56D9" w:rsidP="000D56D9">
      <w:r w:rsidRPr="00965BEC">
        <w:t xml:space="preserve">August, D., &amp; Shanahan, T. (Eds.). (2006). </w:t>
      </w:r>
      <w:r w:rsidRPr="00965BEC">
        <w:rPr>
          <w:i/>
          <w:iCs/>
        </w:rPr>
        <w:t>Developing literacy in second-language learners: Report of the National Literacy Panel on Language-Minority Children and Youth.</w:t>
      </w:r>
      <w:r w:rsidRPr="00965BEC">
        <w:t xml:space="preserve"> Mahwah, NJ: Lawrence Erlbaum Associates.</w:t>
      </w:r>
    </w:p>
    <w:p w14:paraId="6831E7DE" w14:textId="77777777" w:rsidR="00965BEC" w:rsidRPr="00965BEC" w:rsidRDefault="007540DF" w:rsidP="00407A3F">
      <w:r w:rsidRPr="00965BEC">
        <w:t xml:space="preserve">New York State Education Department (2011). </w:t>
      </w:r>
      <w:r w:rsidRPr="00965BEC">
        <w:rPr>
          <w:i/>
          <w:iCs/>
        </w:rPr>
        <w:t>Topic Brief: Students with Interrupted/Inconsistent Formal Education (SIFE).</w:t>
      </w:r>
      <w:r w:rsidRPr="00965BEC">
        <w:t xml:space="preserve"> Albany, NY: Office of Bilingual Education and World Languages. Retrieved from </w:t>
      </w:r>
      <w:hyperlink r:id="rId9" w:tgtFrame="_new" w:history="1">
        <w:r w:rsidRPr="0056052F">
          <w:rPr>
            <w:rStyle w:val="Hyperlink"/>
          </w:rPr>
          <w:t>https://www.nysed.gov/sites/default/files/programs/bilingual-ed/topic-brief-sife-a.pdf</w:t>
        </w:r>
      </w:hyperlink>
    </w:p>
    <w:p w14:paraId="7C5793AF" w14:textId="7A38CA2D" w:rsidR="007618D9" w:rsidRPr="00965BEC" w:rsidRDefault="00DB0EEE" w:rsidP="00407A3F">
      <w:r w:rsidRPr="00965BEC">
        <w:t xml:space="preserve">TNTP. (2021). </w:t>
      </w:r>
      <w:r w:rsidRPr="00965BEC">
        <w:rPr>
          <w:i/>
          <w:iCs/>
        </w:rPr>
        <w:t>Disrupting barriers to strong instructional scaffolding.</w:t>
      </w:r>
      <w:r w:rsidRPr="00965BEC">
        <w:t xml:space="preserve"> Brooklyn, NY: The New Teacher Project. Retrieved from </w:t>
      </w:r>
      <w:hyperlink r:id="rId10" w:tgtFrame="_new" w:history="1">
        <w:r w:rsidRPr="0056052F">
          <w:rPr>
            <w:rStyle w:val="Hyperlink"/>
          </w:rPr>
          <w:t>https://tntp.org/wp-content/uploads/Tools/disrupting-barriers-to-strong-instructional-scaffolding.pdf</w:t>
        </w:r>
      </w:hyperlink>
    </w:p>
    <w:p w14:paraId="736B9276" w14:textId="321E3A74" w:rsidR="00B15925" w:rsidRPr="00965BEC" w:rsidRDefault="00B15925" w:rsidP="00407A3F">
      <w:r w:rsidRPr="00601016">
        <w:rPr>
          <w:lang w:val="es-US"/>
        </w:rPr>
        <w:t xml:space="preserve">van de Pol, J., &amp; Ellis, R. (2023). </w:t>
      </w:r>
      <w:r w:rsidRPr="00B15925">
        <w:rPr>
          <w:i/>
          <w:iCs/>
        </w:rPr>
        <w:t>Scaffolding English language learners: A systematic review.</w:t>
      </w:r>
      <w:r w:rsidRPr="00B15925">
        <w:t xml:space="preserve"> </w:t>
      </w:r>
      <w:r w:rsidRPr="0056052F">
        <w:t>Frontiers in Education, 8, 1341846.</w:t>
      </w:r>
      <w:r w:rsidRPr="00B15925">
        <w:t xml:space="preserve"> </w:t>
      </w:r>
      <w:hyperlink r:id="rId11" w:history="1">
        <w:r w:rsidR="000D56D9" w:rsidRPr="00240D61">
          <w:rPr>
            <w:rStyle w:val="Hyperlink"/>
          </w:rPr>
          <w:t>https://doi.org/10.3389/feduc.2023.1341846</w:t>
        </w:r>
      </w:hyperlink>
      <w:r w:rsidR="000D56D9">
        <w:t xml:space="preserve"> </w:t>
      </w:r>
    </w:p>
    <w:sectPr w:rsidR="00B15925" w:rsidRPr="00965BEC" w:rsidSect="00874E4E">
      <w:footerReference w:type="default" r:id="rId12"/>
      <w:pgSz w:w="12240" w:h="15840"/>
      <w:pgMar w:top="720" w:right="1440" w:bottom="1710" w:left="1440" w:header="72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3388" w14:textId="77777777" w:rsidR="009E71DC" w:rsidRDefault="009E71DC" w:rsidP="00874E4E">
      <w:pPr>
        <w:spacing w:after="0" w:line="240" w:lineRule="auto"/>
      </w:pPr>
      <w:r>
        <w:separator/>
      </w:r>
    </w:p>
  </w:endnote>
  <w:endnote w:type="continuationSeparator" w:id="0">
    <w:p w14:paraId="34484452" w14:textId="77777777" w:rsidR="009E71DC" w:rsidRDefault="009E71DC" w:rsidP="0087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274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0C855" w14:textId="55AC860B" w:rsidR="00874E4E" w:rsidRDefault="00874E4E" w:rsidP="00874E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0923B" w14:textId="77777777" w:rsidR="00874E4E" w:rsidRDefault="00874E4E" w:rsidP="00874E4E">
    <w:pPr>
      <w:pStyle w:val="Footer"/>
    </w:pPr>
    <w:r>
      <w:t>October 2025</w:t>
    </w:r>
  </w:p>
  <w:p w14:paraId="1FBB7911" w14:textId="77777777" w:rsidR="00874E4E" w:rsidRDefault="00874E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7DC6" w14:textId="77777777" w:rsidR="009E71DC" w:rsidRDefault="009E71DC" w:rsidP="00874E4E">
      <w:pPr>
        <w:spacing w:after="0" w:line="240" w:lineRule="auto"/>
      </w:pPr>
      <w:r>
        <w:separator/>
      </w:r>
    </w:p>
  </w:footnote>
  <w:footnote w:type="continuationSeparator" w:id="0">
    <w:p w14:paraId="50CA095C" w14:textId="77777777" w:rsidR="009E71DC" w:rsidRDefault="009E71DC" w:rsidP="00874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9A2"/>
    <w:multiLevelType w:val="multilevel"/>
    <w:tmpl w:val="1E56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E23F7"/>
    <w:multiLevelType w:val="hybridMultilevel"/>
    <w:tmpl w:val="F0EA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25FD"/>
    <w:multiLevelType w:val="hybridMultilevel"/>
    <w:tmpl w:val="DB5E3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86A04"/>
    <w:multiLevelType w:val="multilevel"/>
    <w:tmpl w:val="BA82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23455"/>
    <w:multiLevelType w:val="multilevel"/>
    <w:tmpl w:val="D2B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612AA"/>
    <w:multiLevelType w:val="hybridMultilevel"/>
    <w:tmpl w:val="4DBC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27AB2"/>
    <w:multiLevelType w:val="hybridMultilevel"/>
    <w:tmpl w:val="AF7A8CD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EAA739D"/>
    <w:multiLevelType w:val="multilevel"/>
    <w:tmpl w:val="547E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B745C"/>
    <w:multiLevelType w:val="multilevel"/>
    <w:tmpl w:val="6398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55989"/>
    <w:multiLevelType w:val="multilevel"/>
    <w:tmpl w:val="503A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027F4"/>
    <w:multiLevelType w:val="hybridMultilevel"/>
    <w:tmpl w:val="E88243D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DDE01A8"/>
    <w:multiLevelType w:val="hybridMultilevel"/>
    <w:tmpl w:val="6188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3789">
    <w:abstractNumId w:val="9"/>
  </w:num>
  <w:num w:numId="2" w16cid:durableId="2052925395">
    <w:abstractNumId w:val="7"/>
  </w:num>
  <w:num w:numId="3" w16cid:durableId="1696879343">
    <w:abstractNumId w:val="0"/>
  </w:num>
  <w:num w:numId="4" w16cid:durableId="856819506">
    <w:abstractNumId w:val="8"/>
  </w:num>
  <w:num w:numId="5" w16cid:durableId="827474625">
    <w:abstractNumId w:val="4"/>
  </w:num>
  <w:num w:numId="6" w16cid:durableId="1362708642">
    <w:abstractNumId w:val="3"/>
  </w:num>
  <w:num w:numId="7" w16cid:durableId="1927418215">
    <w:abstractNumId w:val="5"/>
  </w:num>
  <w:num w:numId="8" w16cid:durableId="1285499815">
    <w:abstractNumId w:val="6"/>
  </w:num>
  <w:num w:numId="9" w16cid:durableId="572353189">
    <w:abstractNumId w:val="10"/>
  </w:num>
  <w:num w:numId="10" w16cid:durableId="2003701136">
    <w:abstractNumId w:val="1"/>
  </w:num>
  <w:num w:numId="11" w16cid:durableId="1571425914">
    <w:abstractNumId w:val="11"/>
  </w:num>
  <w:num w:numId="12" w16cid:durableId="208125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1A"/>
    <w:rsid w:val="0001362D"/>
    <w:rsid w:val="00056663"/>
    <w:rsid w:val="00083B02"/>
    <w:rsid w:val="00083C67"/>
    <w:rsid w:val="00093878"/>
    <w:rsid w:val="000D03C7"/>
    <w:rsid w:val="000D56D9"/>
    <w:rsid w:val="001164D8"/>
    <w:rsid w:val="00167724"/>
    <w:rsid w:val="00294A08"/>
    <w:rsid w:val="002D074D"/>
    <w:rsid w:val="0030199B"/>
    <w:rsid w:val="00305A1A"/>
    <w:rsid w:val="00314996"/>
    <w:rsid w:val="003320D3"/>
    <w:rsid w:val="00395FB7"/>
    <w:rsid w:val="003974AB"/>
    <w:rsid w:val="003D0D0E"/>
    <w:rsid w:val="003E3B96"/>
    <w:rsid w:val="00407A3F"/>
    <w:rsid w:val="00416AB1"/>
    <w:rsid w:val="004C4A33"/>
    <w:rsid w:val="004E0673"/>
    <w:rsid w:val="004E7C92"/>
    <w:rsid w:val="004F4D5A"/>
    <w:rsid w:val="005323F4"/>
    <w:rsid w:val="005347E5"/>
    <w:rsid w:val="005414A7"/>
    <w:rsid w:val="0056052F"/>
    <w:rsid w:val="00582395"/>
    <w:rsid w:val="00587200"/>
    <w:rsid w:val="00596D00"/>
    <w:rsid w:val="005B462D"/>
    <w:rsid w:val="00601016"/>
    <w:rsid w:val="00601DFA"/>
    <w:rsid w:val="0060415B"/>
    <w:rsid w:val="00610669"/>
    <w:rsid w:val="0063245E"/>
    <w:rsid w:val="00693EE8"/>
    <w:rsid w:val="00694E8F"/>
    <w:rsid w:val="00701184"/>
    <w:rsid w:val="0070445C"/>
    <w:rsid w:val="007540DF"/>
    <w:rsid w:val="00754C96"/>
    <w:rsid w:val="007618D9"/>
    <w:rsid w:val="007912C8"/>
    <w:rsid w:val="007C2E40"/>
    <w:rsid w:val="007D1CDB"/>
    <w:rsid w:val="007D38FA"/>
    <w:rsid w:val="008000A1"/>
    <w:rsid w:val="00874E4E"/>
    <w:rsid w:val="008A6E05"/>
    <w:rsid w:val="00937357"/>
    <w:rsid w:val="00944EE2"/>
    <w:rsid w:val="00965BEC"/>
    <w:rsid w:val="009A12C9"/>
    <w:rsid w:val="009D4BAA"/>
    <w:rsid w:val="009E71DC"/>
    <w:rsid w:val="00A160BF"/>
    <w:rsid w:val="00A37977"/>
    <w:rsid w:val="00A51176"/>
    <w:rsid w:val="00A70E02"/>
    <w:rsid w:val="00A84FDE"/>
    <w:rsid w:val="00AD0ED7"/>
    <w:rsid w:val="00AD7631"/>
    <w:rsid w:val="00B15925"/>
    <w:rsid w:val="00B43AAB"/>
    <w:rsid w:val="00B448D0"/>
    <w:rsid w:val="00B5392E"/>
    <w:rsid w:val="00B641A9"/>
    <w:rsid w:val="00B80344"/>
    <w:rsid w:val="00BD3CA1"/>
    <w:rsid w:val="00C075D2"/>
    <w:rsid w:val="00C21419"/>
    <w:rsid w:val="00C8678B"/>
    <w:rsid w:val="00D270EB"/>
    <w:rsid w:val="00DB0EEE"/>
    <w:rsid w:val="00DB73BD"/>
    <w:rsid w:val="00DD6717"/>
    <w:rsid w:val="00DE1C85"/>
    <w:rsid w:val="00E17E18"/>
    <w:rsid w:val="00E95BCA"/>
    <w:rsid w:val="00ED5765"/>
    <w:rsid w:val="00F12D33"/>
    <w:rsid w:val="00F3357A"/>
    <w:rsid w:val="00F7119C"/>
    <w:rsid w:val="00F745F6"/>
    <w:rsid w:val="00F9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EB55DF9"/>
  <w15:chartTrackingRefBased/>
  <w15:docId w15:val="{BB928783-AE9E-4ADC-9578-362069E7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A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23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3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1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0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4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E4E"/>
  </w:style>
  <w:style w:type="paragraph" w:styleId="Footer">
    <w:name w:val="footer"/>
    <w:basedOn w:val="Normal"/>
    <w:link w:val="FooterChar"/>
    <w:uiPriority w:val="99"/>
    <w:unhideWhenUsed/>
    <w:rsid w:val="00874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.gov/agencies/education/programs-and-services/instruction/elementary-and-secondary-education/curriculum/educating-english-learners/screening-identification-and-placemen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89/feduc.2023.134184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ntp.org/wp-content/uploads/Tools/disrupting-barriers-to-strong-instructional-scaffolding.pdf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ysed.gov/sites/default/files/programs/bilingual-ed/topic-brief-sife-a.pdf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5144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SLIFE Quick Reference Guidance</dc:title>
  <dc:subject/>
  <dc:creator>Measel, Robert</dc:creator>
  <cp:keywords/>
  <dc:description/>
  <cp:lastModifiedBy>Heimbach, Bunne</cp:lastModifiedBy>
  <cp:revision>2</cp:revision>
  <dcterms:created xsi:type="dcterms:W3CDTF">2025-10-06T12:16:00Z</dcterms:created>
  <dcterms:modified xsi:type="dcterms:W3CDTF">2025-10-06T12:16:00Z</dcterms:modified>
</cp:coreProperties>
</file>