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4DDE" w14:textId="77777777" w:rsidR="00C8418F" w:rsidRPr="00343B99" w:rsidRDefault="00C8418F" w:rsidP="00476878">
      <w:pPr>
        <w:contextualSpacing/>
        <w:jc w:val="center"/>
        <w:rPr>
          <w:rFonts w:asciiTheme="minorHAnsi" w:hAnsiTheme="minorHAnsi"/>
          <w:b/>
        </w:rPr>
      </w:pPr>
      <w:bookmarkStart w:id="1" w:name="_Hlk533057667"/>
      <w:bookmarkEnd w:id="1"/>
    </w:p>
    <w:p w14:paraId="0382E6CA" w14:textId="77777777" w:rsidR="00476878" w:rsidRPr="00343B99" w:rsidRDefault="00476878" w:rsidP="00476878">
      <w:pPr>
        <w:contextualSpacing/>
        <w:jc w:val="center"/>
        <w:rPr>
          <w:rFonts w:asciiTheme="minorHAnsi" w:hAnsiTheme="minorHAnsi"/>
          <w:b/>
        </w:rPr>
      </w:pPr>
      <w:r w:rsidRPr="00343B99">
        <w:rPr>
          <w:rFonts w:asciiTheme="minorHAnsi" w:hAnsiTheme="minorHAnsi"/>
          <w:b/>
        </w:rPr>
        <w:t xml:space="preserve">Pennsylvania eHealth Partnership </w:t>
      </w:r>
      <w:r w:rsidR="00915CA0">
        <w:rPr>
          <w:rFonts w:asciiTheme="minorHAnsi" w:hAnsiTheme="minorHAnsi"/>
          <w:b/>
        </w:rPr>
        <w:t>Program</w:t>
      </w:r>
    </w:p>
    <w:p w14:paraId="4FDC7C25" w14:textId="77777777" w:rsidR="00476878" w:rsidRPr="00343B99" w:rsidRDefault="00476878" w:rsidP="00476878">
      <w:pPr>
        <w:contextualSpacing/>
        <w:jc w:val="center"/>
        <w:rPr>
          <w:rFonts w:asciiTheme="minorHAnsi" w:hAnsiTheme="minorHAnsi"/>
          <w:b/>
        </w:rPr>
      </w:pPr>
      <w:bookmarkStart w:id="2" w:name="_Hlk534212927"/>
      <w:r w:rsidRPr="00343B99">
        <w:rPr>
          <w:rFonts w:asciiTheme="minorHAnsi" w:hAnsiTheme="minorHAnsi"/>
          <w:b/>
        </w:rPr>
        <w:t>HIO Fee Model and Schedule</w:t>
      </w:r>
      <w:bookmarkEnd w:id="2"/>
    </w:p>
    <w:p w14:paraId="58936A16" w14:textId="3D04BCA3" w:rsidR="00476878" w:rsidRPr="00343B99" w:rsidRDefault="00A83499" w:rsidP="00476878">
      <w:pPr>
        <w:contextualSpacing/>
        <w:jc w:val="center"/>
        <w:rPr>
          <w:rFonts w:asciiTheme="minorHAnsi" w:hAnsiTheme="minorHAnsi"/>
        </w:rPr>
      </w:pPr>
      <w:r>
        <w:rPr>
          <w:rFonts w:asciiTheme="minorHAnsi" w:hAnsiTheme="minorHAnsi"/>
          <w:b/>
        </w:rPr>
        <w:t>Effective</w:t>
      </w:r>
      <w:r w:rsidR="00C8418F" w:rsidRPr="00343B99">
        <w:rPr>
          <w:rFonts w:asciiTheme="minorHAnsi" w:hAnsiTheme="minorHAnsi"/>
          <w:b/>
        </w:rPr>
        <w:t xml:space="preserve"> </w:t>
      </w:r>
      <w:r w:rsidR="00BE364E">
        <w:rPr>
          <w:rFonts w:asciiTheme="minorHAnsi" w:hAnsiTheme="minorHAnsi"/>
          <w:b/>
        </w:rPr>
        <w:t>May 202</w:t>
      </w:r>
      <w:r w:rsidR="00A05C7A">
        <w:rPr>
          <w:rFonts w:asciiTheme="minorHAnsi" w:hAnsiTheme="minorHAnsi"/>
          <w:b/>
        </w:rPr>
        <w:t>6</w:t>
      </w:r>
    </w:p>
    <w:p w14:paraId="2A59B53F" w14:textId="77777777" w:rsidR="00476878" w:rsidRPr="00343B99" w:rsidRDefault="00476878" w:rsidP="00476878">
      <w:pPr>
        <w:contextualSpacing/>
        <w:rPr>
          <w:rFonts w:asciiTheme="minorHAnsi" w:hAnsiTheme="minorHAnsi"/>
          <w:sz w:val="12"/>
          <w:szCs w:val="12"/>
        </w:rPr>
      </w:pPr>
    </w:p>
    <w:p w14:paraId="4E8AF0E7" w14:textId="6A0F64E3" w:rsidR="00476878" w:rsidRPr="00343B99" w:rsidRDefault="00476878" w:rsidP="00476878">
      <w:pPr>
        <w:spacing w:after="120"/>
        <w:rPr>
          <w:rFonts w:asciiTheme="minorHAnsi" w:hAnsiTheme="minorHAnsi"/>
        </w:rPr>
      </w:pPr>
      <w:r w:rsidRPr="00343B99">
        <w:rPr>
          <w:rFonts w:asciiTheme="minorHAnsi" w:hAnsiTheme="minorHAnsi"/>
        </w:rPr>
        <w:t xml:space="preserve">This document describes a sustainability fee schedule model that will be used to establish rates to be paid by certified health information organizations (HIO) as participants in the Pennsylvania Patient and Provider Network (P3N). It also describes processes associated with calculation and assessment of these fees, as well as processes for routine and unplanned modification of the fee schedule. The model and schedule </w:t>
      </w:r>
      <w:r w:rsidR="00915CA0">
        <w:rPr>
          <w:rFonts w:asciiTheme="minorHAnsi" w:hAnsiTheme="minorHAnsi"/>
        </w:rPr>
        <w:t xml:space="preserve">represent an extension of </w:t>
      </w:r>
      <w:r w:rsidR="000749DE">
        <w:rPr>
          <w:rFonts w:asciiTheme="minorHAnsi" w:hAnsiTheme="minorHAnsi"/>
        </w:rPr>
        <w:t xml:space="preserve">the </w:t>
      </w:r>
      <w:r w:rsidR="00915CA0">
        <w:rPr>
          <w:rFonts w:asciiTheme="minorHAnsi" w:hAnsiTheme="minorHAnsi"/>
        </w:rPr>
        <w:t xml:space="preserve">model and schedule, which </w:t>
      </w:r>
      <w:r w:rsidRPr="00343B99">
        <w:rPr>
          <w:rFonts w:asciiTheme="minorHAnsi" w:hAnsiTheme="minorHAnsi"/>
        </w:rPr>
        <w:t>were approved</w:t>
      </w:r>
      <w:r w:rsidR="00915CA0">
        <w:rPr>
          <w:rFonts w:asciiTheme="minorHAnsi" w:hAnsiTheme="minorHAnsi"/>
        </w:rPr>
        <w:t xml:space="preserve"> in April 2016</w:t>
      </w:r>
      <w:r w:rsidRPr="00343B99">
        <w:rPr>
          <w:rFonts w:asciiTheme="minorHAnsi" w:hAnsiTheme="minorHAnsi"/>
        </w:rPr>
        <w:t xml:space="preserve"> by the Pennsylvania eHealth Partnership</w:t>
      </w:r>
      <w:r w:rsidR="00915CA0">
        <w:rPr>
          <w:rFonts w:asciiTheme="minorHAnsi" w:hAnsiTheme="minorHAnsi"/>
        </w:rPr>
        <w:t xml:space="preserve"> Authority’s Board of Directors.</w:t>
      </w:r>
    </w:p>
    <w:p w14:paraId="43489E8A" w14:textId="77777777" w:rsidR="00476878" w:rsidRPr="00343B99" w:rsidRDefault="00476878" w:rsidP="000749DE">
      <w:pPr>
        <w:rPr>
          <w:rFonts w:asciiTheme="minorHAnsi" w:hAnsiTheme="minorHAnsi"/>
          <w:b/>
          <w:u w:val="single"/>
        </w:rPr>
      </w:pPr>
      <w:r w:rsidRPr="00343B99">
        <w:rPr>
          <w:rFonts w:asciiTheme="minorHAnsi" w:hAnsiTheme="minorHAnsi"/>
          <w:b/>
          <w:u w:val="single"/>
        </w:rPr>
        <w:t>General Principles</w:t>
      </w:r>
    </w:p>
    <w:p w14:paraId="53F6FF0E" w14:textId="3FBD97ED" w:rsidR="00476878" w:rsidRPr="00343B99" w:rsidRDefault="00476878" w:rsidP="00476878">
      <w:pPr>
        <w:spacing w:after="120"/>
        <w:rPr>
          <w:rFonts w:asciiTheme="minorHAnsi" w:hAnsiTheme="minorHAnsi"/>
        </w:rPr>
      </w:pPr>
      <w:r w:rsidRPr="00343B99">
        <w:rPr>
          <w:rFonts w:asciiTheme="minorHAnsi" w:hAnsiTheme="minorHAnsi"/>
        </w:rPr>
        <w:t xml:space="preserve">The </w:t>
      </w:r>
      <w:r w:rsidR="00915CA0">
        <w:rPr>
          <w:rFonts w:asciiTheme="minorHAnsi" w:hAnsiTheme="minorHAnsi"/>
        </w:rPr>
        <w:t>Partnership</w:t>
      </w:r>
      <w:r w:rsidRPr="00343B99">
        <w:rPr>
          <w:rFonts w:asciiTheme="minorHAnsi" w:hAnsiTheme="minorHAnsi"/>
        </w:rPr>
        <w:t xml:space="preserve">’s sustainability is based on several sources of revenue, including state appropriations, fees paid by HIOs, grants, and private donations. These sources must combine to meet the budgetary and legal requirements of the </w:t>
      </w:r>
      <w:r w:rsidR="00915CA0">
        <w:rPr>
          <w:rFonts w:asciiTheme="minorHAnsi" w:hAnsiTheme="minorHAnsi"/>
        </w:rPr>
        <w:t>Partnership</w:t>
      </w:r>
      <w:r w:rsidRPr="00343B99">
        <w:rPr>
          <w:rFonts w:asciiTheme="minorHAnsi" w:hAnsiTheme="minorHAnsi"/>
        </w:rPr>
        <w:t xml:space="preserve"> necessary to meet strategic and operational plans. This includes employee wages and benefits, contract expenses, </w:t>
      </w:r>
      <w:r w:rsidR="00915CA0">
        <w:rPr>
          <w:rFonts w:asciiTheme="minorHAnsi" w:hAnsiTheme="minorHAnsi"/>
        </w:rPr>
        <w:t>and other operational costs</w:t>
      </w:r>
      <w:r w:rsidRPr="00343B99">
        <w:rPr>
          <w:rFonts w:asciiTheme="minorHAnsi" w:hAnsiTheme="minorHAnsi"/>
        </w:rPr>
        <w:t xml:space="preserve">. The goal for fees paid by HIOs is to raise funds necessary to help meet the </w:t>
      </w:r>
      <w:r w:rsidR="00915CA0">
        <w:rPr>
          <w:rFonts w:asciiTheme="minorHAnsi" w:hAnsiTheme="minorHAnsi"/>
        </w:rPr>
        <w:t>Partnership</w:t>
      </w:r>
      <w:r w:rsidRPr="00343B99">
        <w:rPr>
          <w:rFonts w:asciiTheme="minorHAnsi" w:hAnsiTheme="minorHAnsi"/>
        </w:rPr>
        <w:t xml:space="preserve">’s revenue requirements. </w:t>
      </w:r>
    </w:p>
    <w:p w14:paraId="45A39DA4" w14:textId="77777777" w:rsidR="00476878" w:rsidRPr="00343B99" w:rsidRDefault="00476878" w:rsidP="00476878">
      <w:pPr>
        <w:spacing w:after="120"/>
        <w:rPr>
          <w:rFonts w:asciiTheme="minorHAnsi" w:hAnsiTheme="minorHAnsi"/>
        </w:rPr>
      </w:pPr>
      <w:r w:rsidRPr="00343B99">
        <w:rPr>
          <w:rFonts w:asciiTheme="minorHAnsi" w:hAnsiTheme="minorHAnsi"/>
        </w:rPr>
        <w:t xml:space="preserve">The sustainability fee model for the </w:t>
      </w:r>
      <w:r w:rsidR="00915CA0">
        <w:rPr>
          <w:rFonts w:asciiTheme="minorHAnsi" w:hAnsiTheme="minorHAnsi"/>
        </w:rPr>
        <w:t>Partnership</w:t>
      </w:r>
      <w:r w:rsidRPr="00343B99">
        <w:rPr>
          <w:rFonts w:asciiTheme="minorHAnsi" w:hAnsiTheme="minorHAnsi"/>
        </w:rPr>
        <w:t xml:space="preserve"> is a scaled flat-fee model. Participating HIOs are categorized as small, medium, large, or very large depending on their self-reported levels of participation within their networks. All HIOs within a given size category pay the same annual rate. During the initial onboarding year, actual fees will be prorated for partial-year participation.</w:t>
      </w:r>
    </w:p>
    <w:p w14:paraId="30E38973" w14:textId="77777777" w:rsidR="00476878" w:rsidRPr="00343B99" w:rsidRDefault="00476878" w:rsidP="000749DE">
      <w:pPr>
        <w:rPr>
          <w:rFonts w:asciiTheme="minorHAnsi" w:hAnsiTheme="minorHAnsi"/>
          <w:b/>
          <w:u w:val="single"/>
        </w:rPr>
      </w:pPr>
      <w:r w:rsidRPr="00343B99">
        <w:rPr>
          <w:rFonts w:asciiTheme="minorHAnsi" w:hAnsiTheme="minorHAnsi"/>
          <w:b/>
          <w:u w:val="single"/>
        </w:rPr>
        <w:t>Process</w:t>
      </w:r>
    </w:p>
    <w:p w14:paraId="241CD7B2" w14:textId="6A05B99B" w:rsidR="00476878" w:rsidRDefault="00476878" w:rsidP="00476878">
      <w:pPr>
        <w:rPr>
          <w:rFonts w:asciiTheme="minorHAnsi" w:hAnsiTheme="minorHAnsi"/>
        </w:rPr>
      </w:pPr>
      <w:r w:rsidRPr="00343B99">
        <w:rPr>
          <w:rFonts w:asciiTheme="minorHAnsi" w:hAnsiTheme="minorHAnsi"/>
        </w:rPr>
        <w:t xml:space="preserve">The </w:t>
      </w:r>
      <w:r w:rsidR="00915CA0">
        <w:rPr>
          <w:rFonts w:asciiTheme="minorHAnsi" w:hAnsiTheme="minorHAnsi"/>
        </w:rPr>
        <w:t>Partnership</w:t>
      </w:r>
      <w:r w:rsidRPr="00343B99">
        <w:rPr>
          <w:rFonts w:asciiTheme="minorHAnsi" w:hAnsiTheme="minorHAnsi"/>
        </w:rPr>
        <w:t xml:space="preserve"> </w:t>
      </w:r>
      <w:r w:rsidR="007A505F">
        <w:rPr>
          <w:rFonts w:asciiTheme="minorHAnsi" w:hAnsiTheme="minorHAnsi"/>
        </w:rPr>
        <w:t>use</w:t>
      </w:r>
      <w:r w:rsidR="000749DE">
        <w:rPr>
          <w:rFonts w:asciiTheme="minorHAnsi" w:hAnsiTheme="minorHAnsi"/>
        </w:rPr>
        <w:t>s</w:t>
      </w:r>
      <w:r w:rsidRPr="00343B99">
        <w:rPr>
          <w:rFonts w:asciiTheme="minorHAnsi" w:hAnsiTheme="minorHAnsi"/>
        </w:rPr>
        <w:t xml:space="preserve"> information </w:t>
      </w:r>
      <w:r w:rsidR="007A505F">
        <w:rPr>
          <w:rFonts w:asciiTheme="minorHAnsi" w:hAnsiTheme="minorHAnsi"/>
        </w:rPr>
        <w:t xml:space="preserve">reported </w:t>
      </w:r>
      <w:r w:rsidRPr="00343B99">
        <w:rPr>
          <w:rFonts w:asciiTheme="minorHAnsi" w:hAnsiTheme="minorHAnsi"/>
        </w:rPr>
        <w:t xml:space="preserve">quarterly </w:t>
      </w:r>
      <w:r w:rsidR="007A505F">
        <w:rPr>
          <w:rFonts w:asciiTheme="minorHAnsi" w:hAnsiTheme="minorHAnsi"/>
        </w:rPr>
        <w:t>by</w:t>
      </w:r>
      <w:r w:rsidRPr="00343B99">
        <w:rPr>
          <w:rFonts w:asciiTheme="minorHAnsi" w:hAnsiTheme="minorHAnsi"/>
        </w:rPr>
        <w:t xml:space="preserve"> certified HIOs to produce a point structure, the schedule of how points translate into size categories, and </w:t>
      </w:r>
      <w:r w:rsidR="007A505F">
        <w:rPr>
          <w:rFonts w:asciiTheme="minorHAnsi" w:hAnsiTheme="minorHAnsi"/>
        </w:rPr>
        <w:t xml:space="preserve">the </w:t>
      </w:r>
      <w:r w:rsidRPr="00343B99">
        <w:rPr>
          <w:rFonts w:asciiTheme="minorHAnsi" w:hAnsiTheme="minorHAnsi"/>
        </w:rPr>
        <w:t xml:space="preserve">fee schedule </w:t>
      </w:r>
      <w:r w:rsidR="007A505F">
        <w:rPr>
          <w:rFonts w:asciiTheme="minorHAnsi" w:hAnsiTheme="minorHAnsi"/>
        </w:rPr>
        <w:t>to calculate the next quarter’s fee for each certified HIO</w:t>
      </w:r>
      <w:r w:rsidRPr="00343B99">
        <w:rPr>
          <w:rFonts w:asciiTheme="minorHAnsi" w:hAnsiTheme="minorHAnsi"/>
        </w:rPr>
        <w:t>. Fiscal years run from July 1 through June 30. The fee and point schedule for each fiscal year will go into effect on July 1 of each year. An ongoing quarterly maintenance and billing cycle then follows:</w:t>
      </w:r>
    </w:p>
    <w:p w14:paraId="018B961E" w14:textId="77777777" w:rsidR="006D2DC1" w:rsidRPr="000749DE" w:rsidRDefault="006D2DC1" w:rsidP="00476878">
      <w:pPr>
        <w:rPr>
          <w:rFonts w:asciiTheme="minorHAnsi" w:hAnsiTheme="minorHAnsi"/>
          <w:sz w:val="10"/>
          <w:szCs w:val="10"/>
        </w:rPr>
      </w:pPr>
    </w:p>
    <w:p w14:paraId="630AB731" w14:textId="77777777" w:rsidR="00476878" w:rsidRPr="00276928" w:rsidRDefault="00476878" w:rsidP="00476878">
      <w:pPr>
        <w:pStyle w:val="ListParagraph"/>
        <w:numPr>
          <w:ilvl w:val="0"/>
          <w:numId w:val="1"/>
        </w:numPr>
        <w:spacing w:after="120"/>
        <w:rPr>
          <w:sz w:val="24"/>
          <w:szCs w:val="24"/>
        </w:rPr>
      </w:pPr>
      <w:r w:rsidRPr="00276928">
        <w:rPr>
          <w:sz w:val="24"/>
          <w:szCs w:val="24"/>
        </w:rPr>
        <w:t>First month of each calendar quarter (Jan, Apr, Jul, Oct):</w:t>
      </w:r>
    </w:p>
    <w:p w14:paraId="2D22B8C8" w14:textId="77777777" w:rsidR="00476878" w:rsidRPr="00276928" w:rsidRDefault="00476878" w:rsidP="00476878">
      <w:pPr>
        <w:pStyle w:val="ListParagraph"/>
        <w:numPr>
          <w:ilvl w:val="1"/>
          <w:numId w:val="1"/>
        </w:numPr>
        <w:spacing w:after="120"/>
        <w:rPr>
          <w:sz w:val="24"/>
          <w:szCs w:val="24"/>
        </w:rPr>
      </w:pPr>
      <w:r w:rsidRPr="00276928">
        <w:rPr>
          <w:sz w:val="24"/>
          <w:szCs w:val="24"/>
        </w:rPr>
        <w:t>HIOs submit updated participation reports</w:t>
      </w:r>
    </w:p>
    <w:p w14:paraId="281797C4" w14:textId="77777777" w:rsidR="00476878" w:rsidRPr="00276928" w:rsidRDefault="00476878" w:rsidP="00476878">
      <w:pPr>
        <w:pStyle w:val="ListParagraph"/>
        <w:numPr>
          <w:ilvl w:val="0"/>
          <w:numId w:val="1"/>
        </w:numPr>
        <w:spacing w:after="120"/>
        <w:rPr>
          <w:sz w:val="24"/>
          <w:szCs w:val="24"/>
        </w:rPr>
      </w:pPr>
      <w:r w:rsidRPr="00276928">
        <w:rPr>
          <w:sz w:val="24"/>
          <w:szCs w:val="24"/>
        </w:rPr>
        <w:t>Second month of each calendar quarter (Feb, May, Aug, Nov)</w:t>
      </w:r>
    </w:p>
    <w:p w14:paraId="2C25FC24" w14:textId="77777777" w:rsidR="00476878" w:rsidRPr="00276928" w:rsidRDefault="00915CA0" w:rsidP="00476878">
      <w:pPr>
        <w:pStyle w:val="ListParagraph"/>
        <w:numPr>
          <w:ilvl w:val="1"/>
          <w:numId w:val="1"/>
        </w:numPr>
        <w:spacing w:after="120"/>
        <w:rPr>
          <w:sz w:val="24"/>
          <w:szCs w:val="24"/>
        </w:rPr>
      </w:pPr>
      <w:r w:rsidRPr="00276928">
        <w:rPr>
          <w:sz w:val="24"/>
          <w:szCs w:val="24"/>
        </w:rPr>
        <w:t>Partnership</w:t>
      </w:r>
      <w:r w:rsidR="00476878" w:rsidRPr="00276928">
        <w:rPr>
          <w:sz w:val="24"/>
          <w:szCs w:val="24"/>
        </w:rPr>
        <w:t xml:space="preserve"> calculates current sizes of HIOs</w:t>
      </w:r>
    </w:p>
    <w:p w14:paraId="4846C4EC" w14:textId="77777777" w:rsidR="00476878" w:rsidRDefault="00915CA0" w:rsidP="00476878">
      <w:pPr>
        <w:pStyle w:val="ListParagraph"/>
        <w:numPr>
          <w:ilvl w:val="1"/>
          <w:numId w:val="1"/>
        </w:numPr>
        <w:spacing w:after="120"/>
        <w:rPr>
          <w:sz w:val="24"/>
          <w:szCs w:val="24"/>
        </w:rPr>
      </w:pPr>
      <w:r w:rsidRPr="00276928">
        <w:rPr>
          <w:sz w:val="24"/>
          <w:szCs w:val="24"/>
        </w:rPr>
        <w:t>Partnership</w:t>
      </w:r>
      <w:r w:rsidR="00476878" w:rsidRPr="00276928">
        <w:rPr>
          <w:sz w:val="24"/>
          <w:szCs w:val="24"/>
        </w:rPr>
        <w:t xml:space="preserve"> reduces rates (flat percentage for each category) if anticipated revenues exceed anticipated required revenues over next 36 months)</w:t>
      </w:r>
    </w:p>
    <w:p w14:paraId="5F8D4722" w14:textId="77777777" w:rsidR="00476878" w:rsidRPr="00276928" w:rsidRDefault="00476878" w:rsidP="00476878">
      <w:pPr>
        <w:pStyle w:val="ListParagraph"/>
        <w:numPr>
          <w:ilvl w:val="0"/>
          <w:numId w:val="1"/>
        </w:numPr>
        <w:spacing w:after="120"/>
        <w:rPr>
          <w:sz w:val="24"/>
          <w:szCs w:val="24"/>
        </w:rPr>
      </w:pPr>
      <w:r w:rsidRPr="00276928">
        <w:rPr>
          <w:sz w:val="24"/>
          <w:szCs w:val="24"/>
        </w:rPr>
        <w:t>Third month of each calendar quarter (Mar, Jun, Sep, Dec)</w:t>
      </w:r>
    </w:p>
    <w:p w14:paraId="49EEB9F8" w14:textId="77777777" w:rsidR="00476878" w:rsidRPr="00276928" w:rsidRDefault="00915CA0" w:rsidP="00476878">
      <w:pPr>
        <w:pStyle w:val="ListParagraph"/>
        <w:numPr>
          <w:ilvl w:val="1"/>
          <w:numId w:val="1"/>
        </w:numPr>
        <w:spacing w:after="120"/>
        <w:rPr>
          <w:sz w:val="24"/>
          <w:szCs w:val="24"/>
        </w:rPr>
      </w:pPr>
      <w:r w:rsidRPr="00276928">
        <w:rPr>
          <w:sz w:val="24"/>
          <w:szCs w:val="24"/>
        </w:rPr>
        <w:t>Partnership</w:t>
      </w:r>
      <w:r w:rsidR="00476878" w:rsidRPr="00276928">
        <w:rPr>
          <w:sz w:val="24"/>
          <w:szCs w:val="24"/>
        </w:rPr>
        <w:t xml:space="preserve"> bills HIOs</w:t>
      </w:r>
    </w:p>
    <w:p w14:paraId="66613808" w14:textId="77777777" w:rsidR="00476878" w:rsidRPr="00276928" w:rsidRDefault="00476878" w:rsidP="00476878">
      <w:pPr>
        <w:pStyle w:val="ListParagraph"/>
        <w:numPr>
          <w:ilvl w:val="1"/>
          <w:numId w:val="1"/>
        </w:numPr>
        <w:spacing w:after="120"/>
        <w:rPr>
          <w:sz w:val="24"/>
          <w:szCs w:val="24"/>
        </w:rPr>
      </w:pPr>
      <w:r w:rsidRPr="00276928">
        <w:rPr>
          <w:sz w:val="24"/>
          <w:szCs w:val="24"/>
        </w:rPr>
        <w:t>HIOs remit within that same month</w:t>
      </w:r>
    </w:p>
    <w:p w14:paraId="3AAF7C0C" w14:textId="77777777" w:rsidR="00476878" w:rsidRPr="00343B99" w:rsidRDefault="00476878" w:rsidP="00476878">
      <w:pPr>
        <w:spacing w:after="120"/>
        <w:rPr>
          <w:rFonts w:asciiTheme="minorHAnsi" w:hAnsiTheme="minorHAnsi"/>
        </w:rPr>
      </w:pPr>
      <w:r w:rsidRPr="00343B99">
        <w:rPr>
          <w:rFonts w:asciiTheme="minorHAnsi" w:hAnsiTheme="minorHAnsi"/>
        </w:rPr>
        <w:lastRenderedPageBreak/>
        <w:t xml:space="preserve">HIOs are always billed according to actual levels of participation within their organizations, not according to any estimations of future participation developed by or provided to the </w:t>
      </w:r>
      <w:r w:rsidR="00915CA0">
        <w:rPr>
          <w:rFonts w:asciiTheme="minorHAnsi" w:hAnsiTheme="minorHAnsi"/>
        </w:rPr>
        <w:t>Partnership</w:t>
      </w:r>
      <w:r w:rsidRPr="00343B99">
        <w:rPr>
          <w:rFonts w:asciiTheme="minorHAnsi" w:hAnsiTheme="minorHAnsi"/>
        </w:rPr>
        <w:t xml:space="preserve">. When an HIO crosses the threshold to move from one size category to a higher size category, based on information provided in their quarterly participation reports, the increase or decrease in fees for that HIO will be implemented in the next billing invoice to that organization. </w:t>
      </w:r>
    </w:p>
    <w:p w14:paraId="7936BCD6" w14:textId="77777777" w:rsidR="00476878" w:rsidRPr="00343B99" w:rsidRDefault="00476878" w:rsidP="000749DE">
      <w:pPr>
        <w:rPr>
          <w:rFonts w:asciiTheme="minorHAnsi" w:hAnsiTheme="minorHAnsi"/>
          <w:b/>
          <w:u w:val="single"/>
        </w:rPr>
      </w:pPr>
      <w:r w:rsidRPr="00343B99">
        <w:rPr>
          <w:rFonts w:asciiTheme="minorHAnsi" w:hAnsiTheme="minorHAnsi"/>
          <w:b/>
          <w:u w:val="single"/>
        </w:rPr>
        <w:t>The Fee Schedule</w:t>
      </w:r>
    </w:p>
    <w:p w14:paraId="43F74DD6" w14:textId="2AD92ACE" w:rsidR="00476878" w:rsidRDefault="00476878" w:rsidP="00476878">
      <w:pPr>
        <w:rPr>
          <w:rFonts w:asciiTheme="minorHAnsi" w:hAnsiTheme="minorHAnsi"/>
        </w:rPr>
      </w:pPr>
      <w:r w:rsidRPr="00343B99">
        <w:rPr>
          <w:rFonts w:asciiTheme="minorHAnsi" w:hAnsiTheme="minorHAnsi"/>
        </w:rPr>
        <w:t xml:space="preserve">The following table provides the fee schedule that </w:t>
      </w:r>
      <w:r w:rsidR="00276928">
        <w:rPr>
          <w:rFonts w:asciiTheme="minorHAnsi" w:hAnsiTheme="minorHAnsi"/>
        </w:rPr>
        <w:t xml:space="preserve">was </w:t>
      </w:r>
      <w:r w:rsidR="00276928" w:rsidRPr="00343B99">
        <w:rPr>
          <w:rFonts w:asciiTheme="minorHAnsi" w:hAnsiTheme="minorHAnsi"/>
        </w:rPr>
        <w:t>adopted by the Board on April 15, 2016</w:t>
      </w:r>
      <w:r w:rsidR="00276928">
        <w:rPr>
          <w:rFonts w:asciiTheme="minorHAnsi" w:hAnsiTheme="minorHAnsi"/>
        </w:rPr>
        <w:t>, for</w:t>
      </w:r>
      <w:r w:rsidRPr="00343B99">
        <w:rPr>
          <w:rFonts w:asciiTheme="minorHAnsi" w:hAnsiTheme="minorHAnsi"/>
        </w:rPr>
        <w:t xml:space="preserve"> state fiscal year</w:t>
      </w:r>
      <w:r w:rsidR="00276928">
        <w:rPr>
          <w:rFonts w:asciiTheme="minorHAnsi" w:hAnsiTheme="minorHAnsi"/>
        </w:rPr>
        <w:t>s</w:t>
      </w:r>
      <w:r w:rsidRPr="00343B99">
        <w:rPr>
          <w:rFonts w:asciiTheme="minorHAnsi" w:hAnsiTheme="minorHAnsi"/>
        </w:rPr>
        <w:t xml:space="preserve"> 2015-2016</w:t>
      </w:r>
      <w:r w:rsidR="00276928">
        <w:rPr>
          <w:rFonts w:asciiTheme="minorHAnsi" w:hAnsiTheme="minorHAnsi"/>
        </w:rPr>
        <w:t>,</w:t>
      </w:r>
      <w:r w:rsidRPr="00343B99">
        <w:rPr>
          <w:rFonts w:asciiTheme="minorHAnsi" w:hAnsiTheme="minorHAnsi"/>
        </w:rPr>
        <w:t xml:space="preserve"> 2016-2017, </w:t>
      </w:r>
      <w:r w:rsidR="00276928">
        <w:rPr>
          <w:rFonts w:asciiTheme="minorHAnsi" w:hAnsiTheme="minorHAnsi"/>
        </w:rPr>
        <w:t xml:space="preserve">2017-2018, and 2018-2019. The table also includes </w:t>
      </w:r>
      <w:r w:rsidR="000749DE">
        <w:rPr>
          <w:rFonts w:asciiTheme="minorHAnsi" w:hAnsiTheme="minorHAnsi"/>
        </w:rPr>
        <w:t>Department’ approved f</w:t>
      </w:r>
      <w:r w:rsidR="00276928">
        <w:rPr>
          <w:rFonts w:asciiTheme="minorHAnsi" w:hAnsiTheme="minorHAnsi"/>
        </w:rPr>
        <w:t>ees for SFYs 2019-2020</w:t>
      </w:r>
      <w:r w:rsidR="00645499">
        <w:rPr>
          <w:rFonts w:asciiTheme="minorHAnsi" w:hAnsiTheme="minorHAnsi"/>
        </w:rPr>
        <w:t xml:space="preserve">, </w:t>
      </w:r>
      <w:r w:rsidR="00276928">
        <w:rPr>
          <w:rFonts w:asciiTheme="minorHAnsi" w:hAnsiTheme="minorHAnsi"/>
        </w:rPr>
        <w:t>2020-2021</w:t>
      </w:r>
      <w:r w:rsidR="00E20E75">
        <w:rPr>
          <w:rFonts w:asciiTheme="minorHAnsi" w:hAnsiTheme="minorHAnsi"/>
        </w:rPr>
        <w:t xml:space="preserve">, </w:t>
      </w:r>
      <w:r w:rsidR="00645499">
        <w:rPr>
          <w:rFonts w:asciiTheme="minorHAnsi" w:hAnsiTheme="minorHAnsi"/>
        </w:rPr>
        <w:t>2021-2022</w:t>
      </w:r>
      <w:r w:rsidR="00C34A90">
        <w:rPr>
          <w:rFonts w:asciiTheme="minorHAnsi" w:hAnsiTheme="minorHAnsi"/>
        </w:rPr>
        <w:t>,</w:t>
      </w:r>
      <w:r w:rsidR="00E20E75">
        <w:rPr>
          <w:rFonts w:asciiTheme="minorHAnsi" w:hAnsiTheme="minorHAnsi"/>
        </w:rPr>
        <w:t xml:space="preserve"> 2022-2023</w:t>
      </w:r>
      <w:r w:rsidR="00D90C90">
        <w:rPr>
          <w:rFonts w:asciiTheme="minorHAnsi" w:hAnsiTheme="minorHAnsi"/>
        </w:rPr>
        <w:t xml:space="preserve">, </w:t>
      </w:r>
      <w:r w:rsidR="00AC73F0">
        <w:rPr>
          <w:rFonts w:asciiTheme="minorHAnsi" w:hAnsiTheme="minorHAnsi"/>
        </w:rPr>
        <w:t>2023</w:t>
      </w:r>
      <w:r w:rsidR="00974E77">
        <w:rPr>
          <w:rFonts w:asciiTheme="minorHAnsi" w:hAnsiTheme="minorHAnsi"/>
        </w:rPr>
        <w:t>-2024</w:t>
      </w:r>
      <w:r w:rsidR="00D90C90">
        <w:rPr>
          <w:rFonts w:asciiTheme="minorHAnsi" w:hAnsiTheme="minorHAnsi"/>
        </w:rPr>
        <w:t xml:space="preserve">, </w:t>
      </w:r>
      <w:r w:rsidR="00687AFE">
        <w:rPr>
          <w:rFonts w:asciiTheme="minorHAnsi" w:hAnsiTheme="minorHAnsi"/>
        </w:rPr>
        <w:t xml:space="preserve">2024-205 </w:t>
      </w:r>
      <w:r w:rsidR="003F783A">
        <w:rPr>
          <w:rFonts w:asciiTheme="minorHAnsi" w:hAnsiTheme="minorHAnsi"/>
        </w:rPr>
        <w:t>and 2026-2027</w:t>
      </w:r>
      <w:r w:rsidR="00276928">
        <w:rPr>
          <w:rFonts w:asciiTheme="minorHAnsi" w:hAnsiTheme="minorHAnsi"/>
        </w:rPr>
        <w:t xml:space="preserve">. </w:t>
      </w:r>
      <w:r w:rsidRPr="00343B99">
        <w:rPr>
          <w:rFonts w:asciiTheme="minorHAnsi" w:hAnsiTheme="minorHAnsi"/>
        </w:rPr>
        <w:t xml:space="preserve">The </w:t>
      </w:r>
      <w:r w:rsidR="00276928">
        <w:rPr>
          <w:rFonts w:asciiTheme="minorHAnsi" w:hAnsiTheme="minorHAnsi"/>
        </w:rPr>
        <w:t>Department</w:t>
      </w:r>
      <w:r w:rsidRPr="00343B99">
        <w:rPr>
          <w:rFonts w:asciiTheme="minorHAnsi" w:hAnsiTheme="minorHAnsi"/>
        </w:rPr>
        <w:t xml:space="preserve"> will </w:t>
      </w:r>
      <w:r w:rsidR="00276928">
        <w:rPr>
          <w:rFonts w:asciiTheme="minorHAnsi" w:hAnsiTheme="minorHAnsi"/>
        </w:rPr>
        <w:t>set the</w:t>
      </w:r>
      <w:r w:rsidRPr="00343B99">
        <w:rPr>
          <w:rFonts w:asciiTheme="minorHAnsi" w:hAnsiTheme="minorHAnsi"/>
        </w:rPr>
        <w:t xml:space="preserve"> actual fee schedule for each SFY, as well as any modifications to the model, approximately </w:t>
      </w:r>
      <w:r w:rsidR="000749DE">
        <w:rPr>
          <w:rFonts w:asciiTheme="minorHAnsi" w:hAnsiTheme="minorHAnsi"/>
        </w:rPr>
        <w:t xml:space="preserve">six </w:t>
      </w:r>
      <w:r w:rsidRPr="00343B99">
        <w:rPr>
          <w:rFonts w:asciiTheme="minorHAnsi" w:hAnsiTheme="minorHAnsi"/>
        </w:rPr>
        <w:t xml:space="preserve">months before any year’s fee schedule takes effect. </w:t>
      </w:r>
    </w:p>
    <w:p w14:paraId="0171DA65" w14:textId="77777777" w:rsidR="00276928" w:rsidRPr="000749DE" w:rsidRDefault="00276928" w:rsidP="00476878">
      <w:pPr>
        <w:rPr>
          <w:rFonts w:asciiTheme="minorHAnsi" w:hAnsiTheme="minorHAnsi"/>
          <w:sz w:val="10"/>
          <w:szCs w:val="10"/>
        </w:rPr>
      </w:pPr>
    </w:p>
    <w:p w14:paraId="07D40B65" w14:textId="0344CCB7" w:rsidR="00476878" w:rsidRPr="00343B99" w:rsidRDefault="00476878" w:rsidP="00476878">
      <w:pPr>
        <w:spacing w:after="120"/>
        <w:contextualSpacing/>
        <w:jc w:val="center"/>
        <w:rPr>
          <w:rFonts w:asciiTheme="minorHAnsi" w:hAnsiTheme="minorHAnsi"/>
          <w:b/>
        </w:rPr>
      </w:pPr>
      <w:r w:rsidRPr="00343B99">
        <w:rPr>
          <w:rFonts w:asciiTheme="minorHAnsi" w:hAnsiTheme="minorHAnsi"/>
          <w:b/>
        </w:rPr>
        <w:t xml:space="preserve">HIO Fee Schedule as of </w:t>
      </w:r>
      <w:r w:rsidR="00974E77">
        <w:rPr>
          <w:rFonts w:asciiTheme="minorHAnsi" w:hAnsiTheme="minorHAnsi"/>
          <w:b/>
        </w:rPr>
        <w:t>March 21, 202</w:t>
      </w:r>
      <w:r w:rsidR="00370DBF">
        <w:rPr>
          <w:rFonts w:asciiTheme="minorHAnsi" w:hAnsiTheme="minorHAnsi"/>
          <w:b/>
        </w:rPr>
        <w:t>6</w:t>
      </w:r>
    </w:p>
    <w:tbl>
      <w:tblPr>
        <w:tblStyle w:val="TableGrid"/>
        <w:tblW w:w="11278" w:type="dxa"/>
        <w:tblInd w:w="-1175" w:type="dxa"/>
        <w:tblLook w:val="04A0" w:firstRow="1" w:lastRow="0" w:firstColumn="1" w:lastColumn="0" w:noHBand="0" w:noVBand="1"/>
      </w:tblPr>
      <w:tblGrid>
        <w:gridCol w:w="1108"/>
        <w:gridCol w:w="1130"/>
        <w:gridCol w:w="1130"/>
        <w:gridCol w:w="1130"/>
        <w:gridCol w:w="1130"/>
        <w:gridCol w:w="1130"/>
        <w:gridCol w:w="1130"/>
        <w:gridCol w:w="1130"/>
        <w:gridCol w:w="1130"/>
        <w:gridCol w:w="1130"/>
      </w:tblGrid>
      <w:tr w:rsidR="005E7925" w:rsidRPr="00343B99" w14:paraId="72AEB158" w14:textId="00BEA461" w:rsidTr="00931931">
        <w:tc>
          <w:tcPr>
            <w:tcW w:w="1440" w:type="dxa"/>
            <w:vMerge w:val="restart"/>
          </w:tcPr>
          <w:p w14:paraId="6CC5C5BB" w14:textId="77777777"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Category</w:t>
            </w:r>
          </w:p>
        </w:tc>
        <w:tc>
          <w:tcPr>
            <w:tcW w:w="9838" w:type="dxa"/>
            <w:gridSpan w:val="9"/>
          </w:tcPr>
          <w:p w14:paraId="2CB4DEE1" w14:textId="037F4FEC"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State Fiscal Year</w:t>
            </w:r>
          </w:p>
        </w:tc>
      </w:tr>
      <w:tr w:rsidR="005E7925" w:rsidRPr="00343B99" w14:paraId="18F3E62A" w14:textId="04A9B9A6" w:rsidTr="00931931">
        <w:tc>
          <w:tcPr>
            <w:tcW w:w="1440" w:type="dxa"/>
            <w:vMerge/>
          </w:tcPr>
          <w:p w14:paraId="32D661E6" w14:textId="77777777" w:rsidR="005E7925" w:rsidRPr="00343B99" w:rsidRDefault="005E7925" w:rsidP="00476878">
            <w:pPr>
              <w:spacing w:after="120"/>
              <w:contextualSpacing/>
              <w:jc w:val="center"/>
              <w:rPr>
                <w:rFonts w:asciiTheme="minorHAnsi" w:hAnsiTheme="minorHAnsi"/>
                <w:b/>
              </w:rPr>
            </w:pPr>
          </w:p>
        </w:tc>
        <w:tc>
          <w:tcPr>
            <w:tcW w:w="798" w:type="dxa"/>
          </w:tcPr>
          <w:p w14:paraId="657681CE" w14:textId="77777777"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2015-16</w:t>
            </w:r>
          </w:p>
        </w:tc>
        <w:tc>
          <w:tcPr>
            <w:tcW w:w="1130" w:type="dxa"/>
          </w:tcPr>
          <w:p w14:paraId="0E5EA018" w14:textId="77777777"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2016-17</w:t>
            </w:r>
          </w:p>
        </w:tc>
        <w:tc>
          <w:tcPr>
            <w:tcW w:w="1130" w:type="dxa"/>
          </w:tcPr>
          <w:p w14:paraId="5F306D8B" w14:textId="77777777"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2017-18</w:t>
            </w:r>
          </w:p>
        </w:tc>
        <w:tc>
          <w:tcPr>
            <w:tcW w:w="1130" w:type="dxa"/>
          </w:tcPr>
          <w:p w14:paraId="5FE74982" w14:textId="77777777"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2018-19</w:t>
            </w:r>
          </w:p>
        </w:tc>
        <w:tc>
          <w:tcPr>
            <w:tcW w:w="1130" w:type="dxa"/>
          </w:tcPr>
          <w:p w14:paraId="46FBDC2A" w14:textId="77777777"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2019-20</w:t>
            </w:r>
          </w:p>
        </w:tc>
        <w:tc>
          <w:tcPr>
            <w:tcW w:w="1130" w:type="dxa"/>
          </w:tcPr>
          <w:p w14:paraId="473A0C3A" w14:textId="77777777" w:rsidR="005E7925" w:rsidRPr="00343B99" w:rsidRDefault="005E7925" w:rsidP="00476878">
            <w:pPr>
              <w:spacing w:after="120"/>
              <w:contextualSpacing/>
              <w:jc w:val="center"/>
              <w:rPr>
                <w:rFonts w:asciiTheme="minorHAnsi" w:hAnsiTheme="minorHAnsi"/>
                <w:b/>
              </w:rPr>
            </w:pPr>
            <w:r w:rsidRPr="00343B99">
              <w:rPr>
                <w:rFonts w:asciiTheme="minorHAnsi" w:hAnsiTheme="minorHAnsi"/>
                <w:b/>
              </w:rPr>
              <w:t>2020-21</w:t>
            </w:r>
          </w:p>
        </w:tc>
        <w:tc>
          <w:tcPr>
            <w:tcW w:w="1130" w:type="dxa"/>
          </w:tcPr>
          <w:p w14:paraId="0664A327" w14:textId="6D203609" w:rsidR="005E7925" w:rsidRPr="00343B99" w:rsidRDefault="005E7925" w:rsidP="00476878">
            <w:pPr>
              <w:spacing w:after="120"/>
              <w:contextualSpacing/>
              <w:jc w:val="center"/>
              <w:rPr>
                <w:rFonts w:asciiTheme="minorHAnsi" w:hAnsiTheme="minorHAnsi"/>
                <w:b/>
              </w:rPr>
            </w:pPr>
            <w:r>
              <w:rPr>
                <w:rFonts w:asciiTheme="minorHAnsi" w:hAnsiTheme="minorHAnsi"/>
                <w:b/>
              </w:rPr>
              <w:t>2021-22</w:t>
            </w:r>
          </w:p>
        </w:tc>
        <w:tc>
          <w:tcPr>
            <w:tcW w:w="1130" w:type="dxa"/>
          </w:tcPr>
          <w:p w14:paraId="3537E4AB" w14:textId="32603FC1" w:rsidR="005E7925" w:rsidRDefault="005E7925" w:rsidP="00476878">
            <w:pPr>
              <w:spacing w:after="120"/>
              <w:contextualSpacing/>
              <w:jc w:val="center"/>
              <w:rPr>
                <w:rFonts w:asciiTheme="minorHAnsi" w:hAnsiTheme="minorHAnsi"/>
                <w:b/>
              </w:rPr>
            </w:pPr>
            <w:r>
              <w:rPr>
                <w:rFonts w:asciiTheme="minorHAnsi" w:hAnsiTheme="minorHAnsi"/>
                <w:b/>
              </w:rPr>
              <w:t>2022-23</w:t>
            </w:r>
          </w:p>
        </w:tc>
        <w:tc>
          <w:tcPr>
            <w:tcW w:w="1130" w:type="dxa"/>
          </w:tcPr>
          <w:p w14:paraId="7E43D40E" w14:textId="1049A102" w:rsidR="005E7925" w:rsidRDefault="005E7925" w:rsidP="00476878">
            <w:pPr>
              <w:spacing w:after="120"/>
              <w:contextualSpacing/>
              <w:jc w:val="center"/>
              <w:rPr>
                <w:rFonts w:asciiTheme="minorHAnsi" w:hAnsiTheme="minorHAnsi"/>
                <w:b/>
              </w:rPr>
            </w:pPr>
            <w:r>
              <w:rPr>
                <w:rFonts w:asciiTheme="minorHAnsi" w:hAnsiTheme="minorHAnsi"/>
                <w:b/>
              </w:rPr>
              <w:t>2023-24</w:t>
            </w:r>
          </w:p>
        </w:tc>
      </w:tr>
      <w:tr w:rsidR="005E7925" w:rsidRPr="00343B99" w14:paraId="77EFEB2E" w14:textId="4F95DDD4" w:rsidTr="00931931">
        <w:tc>
          <w:tcPr>
            <w:tcW w:w="1440" w:type="dxa"/>
          </w:tcPr>
          <w:p w14:paraId="5FD18B9C" w14:textId="77777777" w:rsidR="005E7925" w:rsidRPr="00343B99" w:rsidRDefault="005E7925" w:rsidP="005E7925">
            <w:pPr>
              <w:spacing w:after="120"/>
              <w:contextualSpacing/>
              <w:jc w:val="center"/>
              <w:rPr>
                <w:rFonts w:asciiTheme="minorHAnsi" w:hAnsiTheme="minorHAnsi"/>
                <w:b/>
              </w:rPr>
            </w:pPr>
            <w:bookmarkStart w:id="3" w:name="_Hlk534213804"/>
            <w:r w:rsidRPr="00343B99">
              <w:rPr>
                <w:rFonts w:asciiTheme="minorHAnsi" w:hAnsiTheme="minorHAnsi"/>
                <w:b/>
              </w:rPr>
              <w:t>Small</w:t>
            </w:r>
          </w:p>
        </w:tc>
        <w:tc>
          <w:tcPr>
            <w:tcW w:w="798" w:type="dxa"/>
          </w:tcPr>
          <w:p w14:paraId="04E5BBEA"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$22,500</w:t>
            </w:r>
          </w:p>
        </w:tc>
        <w:tc>
          <w:tcPr>
            <w:tcW w:w="1130" w:type="dxa"/>
          </w:tcPr>
          <w:p w14:paraId="7C66A41F"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$22,500</w:t>
            </w:r>
          </w:p>
        </w:tc>
        <w:tc>
          <w:tcPr>
            <w:tcW w:w="1130" w:type="dxa"/>
          </w:tcPr>
          <w:p w14:paraId="08B3283C"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$26,000</w:t>
            </w:r>
          </w:p>
        </w:tc>
        <w:tc>
          <w:tcPr>
            <w:tcW w:w="1130" w:type="dxa"/>
          </w:tcPr>
          <w:p w14:paraId="5C1B39B9"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$30,000</w:t>
            </w:r>
          </w:p>
        </w:tc>
        <w:tc>
          <w:tcPr>
            <w:tcW w:w="1130" w:type="dxa"/>
          </w:tcPr>
          <w:p w14:paraId="1B824354"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$30,000</w:t>
            </w:r>
          </w:p>
        </w:tc>
        <w:tc>
          <w:tcPr>
            <w:tcW w:w="1130" w:type="dxa"/>
          </w:tcPr>
          <w:p w14:paraId="6F5DAE2D"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$30,000</w:t>
            </w:r>
          </w:p>
        </w:tc>
        <w:tc>
          <w:tcPr>
            <w:tcW w:w="1130" w:type="dxa"/>
          </w:tcPr>
          <w:p w14:paraId="49214045" w14:textId="2EA5010F"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$30,000</w:t>
            </w:r>
          </w:p>
        </w:tc>
        <w:tc>
          <w:tcPr>
            <w:tcW w:w="1130" w:type="dxa"/>
          </w:tcPr>
          <w:p w14:paraId="7A5D832C" w14:textId="3E944A26" w:rsidR="005E7925" w:rsidRPr="00343B99" w:rsidRDefault="005E7925" w:rsidP="005E7925">
            <w:pPr>
              <w:spacing w:after="120"/>
              <w:contextualSpacing/>
              <w:jc w:val="center"/>
              <w:rPr>
                <w:rFonts w:asciiTheme="minorHAnsi" w:hAnsiTheme="minorHAnsi"/>
                <w:b/>
              </w:rPr>
            </w:pPr>
            <w:r>
              <w:rPr>
                <w:rFonts w:asciiTheme="minorHAnsi" w:hAnsiTheme="minorHAnsi"/>
                <w:b/>
              </w:rPr>
              <w:t>$28,650</w:t>
            </w:r>
          </w:p>
        </w:tc>
        <w:tc>
          <w:tcPr>
            <w:tcW w:w="1130" w:type="dxa"/>
          </w:tcPr>
          <w:p w14:paraId="436BEDD9" w14:textId="6B60D38F" w:rsidR="005E7925" w:rsidRDefault="005E7925" w:rsidP="005E7925">
            <w:pPr>
              <w:spacing w:after="120"/>
              <w:contextualSpacing/>
              <w:jc w:val="center"/>
              <w:rPr>
                <w:rFonts w:asciiTheme="minorHAnsi" w:hAnsiTheme="minorHAnsi"/>
                <w:b/>
              </w:rPr>
            </w:pPr>
            <w:r>
              <w:rPr>
                <w:rFonts w:asciiTheme="minorHAnsi" w:hAnsiTheme="minorHAnsi"/>
                <w:b/>
              </w:rPr>
              <w:t>$28,650</w:t>
            </w:r>
          </w:p>
        </w:tc>
      </w:tr>
      <w:tr w:rsidR="005E7925" w:rsidRPr="00343B99" w14:paraId="16276E60" w14:textId="59C5EB19" w:rsidTr="00931931">
        <w:tc>
          <w:tcPr>
            <w:tcW w:w="1440" w:type="dxa"/>
          </w:tcPr>
          <w:p w14:paraId="4A1E4736"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Medium</w:t>
            </w:r>
          </w:p>
        </w:tc>
        <w:tc>
          <w:tcPr>
            <w:tcW w:w="798" w:type="dxa"/>
          </w:tcPr>
          <w:p w14:paraId="069EB411"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$45,000</w:t>
            </w:r>
          </w:p>
        </w:tc>
        <w:tc>
          <w:tcPr>
            <w:tcW w:w="1130" w:type="dxa"/>
          </w:tcPr>
          <w:p w14:paraId="116EB4AA"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$45,000</w:t>
            </w:r>
          </w:p>
        </w:tc>
        <w:tc>
          <w:tcPr>
            <w:tcW w:w="1130" w:type="dxa"/>
          </w:tcPr>
          <w:p w14:paraId="5F1591FB"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$52,000</w:t>
            </w:r>
          </w:p>
        </w:tc>
        <w:tc>
          <w:tcPr>
            <w:tcW w:w="1130" w:type="dxa"/>
          </w:tcPr>
          <w:p w14:paraId="598E3B2D"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$60,000</w:t>
            </w:r>
          </w:p>
        </w:tc>
        <w:tc>
          <w:tcPr>
            <w:tcW w:w="1130" w:type="dxa"/>
          </w:tcPr>
          <w:p w14:paraId="408103E4"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$60,000</w:t>
            </w:r>
          </w:p>
        </w:tc>
        <w:tc>
          <w:tcPr>
            <w:tcW w:w="1130" w:type="dxa"/>
          </w:tcPr>
          <w:p w14:paraId="307F13CD"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$60,000</w:t>
            </w:r>
          </w:p>
        </w:tc>
        <w:tc>
          <w:tcPr>
            <w:tcW w:w="1130" w:type="dxa"/>
          </w:tcPr>
          <w:p w14:paraId="41341FF3" w14:textId="0B267A90"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$60,000</w:t>
            </w:r>
          </w:p>
        </w:tc>
        <w:tc>
          <w:tcPr>
            <w:tcW w:w="1130" w:type="dxa"/>
          </w:tcPr>
          <w:p w14:paraId="4D94C3E1" w14:textId="52442781" w:rsidR="005E7925" w:rsidRPr="00343B99" w:rsidRDefault="005E7925" w:rsidP="005E7925">
            <w:pPr>
              <w:spacing w:after="120"/>
              <w:contextualSpacing/>
              <w:jc w:val="center"/>
              <w:rPr>
                <w:rFonts w:asciiTheme="minorHAnsi" w:hAnsiTheme="minorHAnsi"/>
                <w:b/>
              </w:rPr>
            </w:pPr>
            <w:r>
              <w:rPr>
                <w:rFonts w:asciiTheme="minorHAnsi" w:hAnsiTheme="minorHAnsi"/>
                <w:b/>
              </w:rPr>
              <w:t>$57,300</w:t>
            </w:r>
          </w:p>
        </w:tc>
        <w:tc>
          <w:tcPr>
            <w:tcW w:w="1130" w:type="dxa"/>
          </w:tcPr>
          <w:p w14:paraId="18D90303" w14:textId="7CA10FC1" w:rsidR="005E7925" w:rsidRDefault="005E7925" w:rsidP="005E7925">
            <w:pPr>
              <w:spacing w:after="120"/>
              <w:contextualSpacing/>
              <w:jc w:val="center"/>
              <w:rPr>
                <w:rFonts w:asciiTheme="minorHAnsi" w:hAnsiTheme="minorHAnsi"/>
                <w:b/>
              </w:rPr>
            </w:pPr>
            <w:r>
              <w:rPr>
                <w:rFonts w:asciiTheme="minorHAnsi" w:hAnsiTheme="minorHAnsi"/>
                <w:b/>
              </w:rPr>
              <w:t>$57,300</w:t>
            </w:r>
          </w:p>
        </w:tc>
      </w:tr>
      <w:tr w:rsidR="005E7925" w:rsidRPr="00343B99" w14:paraId="15F0C78A" w14:textId="23BCD139" w:rsidTr="00931931">
        <w:tc>
          <w:tcPr>
            <w:tcW w:w="1440" w:type="dxa"/>
          </w:tcPr>
          <w:p w14:paraId="01C2169F"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Large</w:t>
            </w:r>
          </w:p>
        </w:tc>
        <w:tc>
          <w:tcPr>
            <w:tcW w:w="798" w:type="dxa"/>
          </w:tcPr>
          <w:p w14:paraId="0DEA78A7"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$90,000</w:t>
            </w:r>
          </w:p>
        </w:tc>
        <w:tc>
          <w:tcPr>
            <w:tcW w:w="1130" w:type="dxa"/>
          </w:tcPr>
          <w:p w14:paraId="77235C8F"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$90,000</w:t>
            </w:r>
          </w:p>
        </w:tc>
        <w:tc>
          <w:tcPr>
            <w:tcW w:w="1130" w:type="dxa"/>
          </w:tcPr>
          <w:p w14:paraId="22A2CC24"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$104,000</w:t>
            </w:r>
          </w:p>
        </w:tc>
        <w:tc>
          <w:tcPr>
            <w:tcW w:w="1130" w:type="dxa"/>
          </w:tcPr>
          <w:p w14:paraId="5A7E5406"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$120,000</w:t>
            </w:r>
          </w:p>
        </w:tc>
        <w:tc>
          <w:tcPr>
            <w:tcW w:w="1130" w:type="dxa"/>
          </w:tcPr>
          <w:p w14:paraId="3B6A46F1"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$120,000</w:t>
            </w:r>
          </w:p>
        </w:tc>
        <w:tc>
          <w:tcPr>
            <w:tcW w:w="1130" w:type="dxa"/>
          </w:tcPr>
          <w:p w14:paraId="77306071"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$120,000</w:t>
            </w:r>
          </w:p>
        </w:tc>
        <w:tc>
          <w:tcPr>
            <w:tcW w:w="1130" w:type="dxa"/>
          </w:tcPr>
          <w:p w14:paraId="366E2373" w14:textId="5E389F2E"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$120,000</w:t>
            </w:r>
          </w:p>
        </w:tc>
        <w:tc>
          <w:tcPr>
            <w:tcW w:w="1130" w:type="dxa"/>
          </w:tcPr>
          <w:p w14:paraId="69363108" w14:textId="11A39945" w:rsidR="005E7925" w:rsidRPr="00343B99" w:rsidRDefault="005E7925" w:rsidP="005E7925">
            <w:pPr>
              <w:spacing w:after="120"/>
              <w:contextualSpacing/>
              <w:jc w:val="center"/>
              <w:rPr>
                <w:rFonts w:asciiTheme="minorHAnsi" w:hAnsiTheme="minorHAnsi"/>
                <w:b/>
              </w:rPr>
            </w:pPr>
            <w:r>
              <w:rPr>
                <w:rFonts w:asciiTheme="minorHAnsi" w:hAnsiTheme="minorHAnsi"/>
                <w:b/>
              </w:rPr>
              <w:t>$114,600</w:t>
            </w:r>
          </w:p>
        </w:tc>
        <w:tc>
          <w:tcPr>
            <w:tcW w:w="1130" w:type="dxa"/>
          </w:tcPr>
          <w:p w14:paraId="1DB32CFC" w14:textId="49E6543A" w:rsidR="005E7925" w:rsidRDefault="005E7925" w:rsidP="005E7925">
            <w:pPr>
              <w:spacing w:after="120"/>
              <w:contextualSpacing/>
              <w:jc w:val="center"/>
              <w:rPr>
                <w:rFonts w:asciiTheme="minorHAnsi" w:hAnsiTheme="minorHAnsi"/>
                <w:b/>
              </w:rPr>
            </w:pPr>
            <w:r>
              <w:rPr>
                <w:rFonts w:asciiTheme="minorHAnsi" w:hAnsiTheme="minorHAnsi"/>
                <w:b/>
              </w:rPr>
              <w:t>$114,600</w:t>
            </w:r>
          </w:p>
        </w:tc>
      </w:tr>
      <w:tr w:rsidR="005E7925" w:rsidRPr="00343B99" w14:paraId="08947F35" w14:textId="7F4E5075" w:rsidTr="00931931">
        <w:tc>
          <w:tcPr>
            <w:tcW w:w="1440" w:type="dxa"/>
          </w:tcPr>
          <w:p w14:paraId="5123AF9B"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Very Large</w:t>
            </w:r>
          </w:p>
        </w:tc>
        <w:tc>
          <w:tcPr>
            <w:tcW w:w="798" w:type="dxa"/>
          </w:tcPr>
          <w:p w14:paraId="6114A92B"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$135,000</w:t>
            </w:r>
          </w:p>
        </w:tc>
        <w:tc>
          <w:tcPr>
            <w:tcW w:w="1130" w:type="dxa"/>
          </w:tcPr>
          <w:p w14:paraId="70AACAFB"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$135,000</w:t>
            </w:r>
          </w:p>
        </w:tc>
        <w:tc>
          <w:tcPr>
            <w:tcW w:w="1130" w:type="dxa"/>
          </w:tcPr>
          <w:p w14:paraId="633A02C1"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$156,000</w:t>
            </w:r>
          </w:p>
        </w:tc>
        <w:tc>
          <w:tcPr>
            <w:tcW w:w="1130" w:type="dxa"/>
          </w:tcPr>
          <w:p w14:paraId="4388A4D1"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$180,000</w:t>
            </w:r>
          </w:p>
        </w:tc>
        <w:tc>
          <w:tcPr>
            <w:tcW w:w="1130" w:type="dxa"/>
          </w:tcPr>
          <w:p w14:paraId="6C27C5AF"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$180,000</w:t>
            </w:r>
          </w:p>
        </w:tc>
        <w:tc>
          <w:tcPr>
            <w:tcW w:w="1130" w:type="dxa"/>
          </w:tcPr>
          <w:p w14:paraId="4CD7A9A8" w14:textId="77777777"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$180,000</w:t>
            </w:r>
          </w:p>
        </w:tc>
        <w:tc>
          <w:tcPr>
            <w:tcW w:w="1130" w:type="dxa"/>
          </w:tcPr>
          <w:p w14:paraId="0DF7414A" w14:textId="3D3FA2BE" w:rsidR="005E7925" w:rsidRPr="00343B99" w:rsidRDefault="005E7925" w:rsidP="005E7925">
            <w:pPr>
              <w:spacing w:after="120"/>
              <w:contextualSpacing/>
              <w:jc w:val="center"/>
              <w:rPr>
                <w:rFonts w:asciiTheme="minorHAnsi" w:hAnsiTheme="minorHAnsi"/>
                <w:b/>
              </w:rPr>
            </w:pPr>
            <w:r w:rsidRPr="00343B99">
              <w:rPr>
                <w:rFonts w:asciiTheme="minorHAnsi" w:hAnsiTheme="minorHAnsi"/>
                <w:b/>
              </w:rPr>
              <w:t>$180,000</w:t>
            </w:r>
          </w:p>
        </w:tc>
        <w:tc>
          <w:tcPr>
            <w:tcW w:w="1130" w:type="dxa"/>
          </w:tcPr>
          <w:p w14:paraId="4AF48D8C" w14:textId="5E884B50" w:rsidR="005E7925" w:rsidRPr="00343B99" w:rsidRDefault="005E7925" w:rsidP="005E7925">
            <w:pPr>
              <w:spacing w:after="120"/>
              <w:contextualSpacing/>
              <w:jc w:val="center"/>
              <w:rPr>
                <w:rFonts w:asciiTheme="minorHAnsi" w:hAnsiTheme="minorHAnsi"/>
                <w:b/>
              </w:rPr>
            </w:pPr>
            <w:r>
              <w:rPr>
                <w:rFonts w:asciiTheme="minorHAnsi" w:hAnsiTheme="minorHAnsi"/>
                <w:b/>
              </w:rPr>
              <w:t>$171,900</w:t>
            </w:r>
          </w:p>
        </w:tc>
        <w:tc>
          <w:tcPr>
            <w:tcW w:w="1130" w:type="dxa"/>
          </w:tcPr>
          <w:p w14:paraId="7A7189CB" w14:textId="243A0B51" w:rsidR="005E7925" w:rsidRDefault="005E7925" w:rsidP="005E7925">
            <w:pPr>
              <w:spacing w:after="120"/>
              <w:contextualSpacing/>
              <w:jc w:val="center"/>
              <w:rPr>
                <w:rFonts w:asciiTheme="minorHAnsi" w:hAnsiTheme="minorHAnsi"/>
                <w:b/>
              </w:rPr>
            </w:pPr>
            <w:r>
              <w:rPr>
                <w:rFonts w:asciiTheme="minorHAnsi" w:hAnsiTheme="minorHAnsi"/>
                <w:b/>
              </w:rPr>
              <w:t>$171,900</w:t>
            </w:r>
          </w:p>
        </w:tc>
      </w:tr>
      <w:bookmarkEnd w:id="3"/>
    </w:tbl>
    <w:p w14:paraId="43E0BA51" w14:textId="77777777" w:rsidR="00276928" w:rsidRPr="000749DE" w:rsidRDefault="00276928" w:rsidP="000749DE">
      <w:pPr>
        <w:rPr>
          <w:rFonts w:asciiTheme="minorHAnsi" w:hAnsiTheme="minorHAnsi"/>
          <w:sz w:val="10"/>
          <w:szCs w:val="10"/>
        </w:rPr>
      </w:pPr>
    </w:p>
    <w:tbl>
      <w:tblPr>
        <w:tblStyle w:val="TableGrid"/>
        <w:tblW w:w="11278" w:type="dxa"/>
        <w:tblInd w:w="-1175" w:type="dxa"/>
        <w:tblLook w:val="04A0" w:firstRow="1" w:lastRow="0" w:firstColumn="1" w:lastColumn="0" w:noHBand="0" w:noVBand="1"/>
      </w:tblPr>
      <w:tblGrid>
        <w:gridCol w:w="1108"/>
        <w:gridCol w:w="1141"/>
        <w:gridCol w:w="1130"/>
        <w:gridCol w:w="1166"/>
        <w:gridCol w:w="1073"/>
        <w:gridCol w:w="1162"/>
        <w:gridCol w:w="1162"/>
        <w:gridCol w:w="1073"/>
        <w:gridCol w:w="1183"/>
        <w:gridCol w:w="1080"/>
      </w:tblGrid>
      <w:tr w:rsidR="00386250" w:rsidRPr="00343B99" w14:paraId="2F717E2F" w14:textId="77777777" w:rsidTr="00E718D8">
        <w:tc>
          <w:tcPr>
            <w:tcW w:w="1108" w:type="dxa"/>
            <w:vMerge w:val="restart"/>
          </w:tcPr>
          <w:p w14:paraId="7453ACF0" w14:textId="77777777" w:rsidR="00386250" w:rsidRPr="00343B99" w:rsidRDefault="00386250" w:rsidP="000F03B0">
            <w:pPr>
              <w:spacing w:after="120"/>
              <w:contextualSpacing/>
              <w:jc w:val="center"/>
              <w:rPr>
                <w:rFonts w:asciiTheme="minorHAnsi" w:hAnsiTheme="minorHAnsi"/>
                <w:b/>
              </w:rPr>
            </w:pPr>
            <w:r w:rsidRPr="00343B99">
              <w:rPr>
                <w:rFonts w:asciiTheme="minorHAnsi" w:hAnsiTheme="minorHAnsi"/>
                <w:b/>
              </w:rPr>
              <w:t>Category</w:t>
            </w:r>
          </w:p>
        </w:tc>
        <w:tc>
          <w:tcPr>
            <w:tcW w:w="10170" w:type="dxa"/>
            <w:gridSpan w:val="9"/>
          </w:tcPr>
          <w:p w14:paraId="491E6E12" w14:textId="77777777" w:rsidR="00386250" w:rsidRPr="00343B99" w:rsidRDefault="00386250" w:rsidP="000F03B0">
            <w:pPr>
              <w:spacing w:after="120"/>
              <w:contextualSpacing/>
              <w:jc w:val="center"/>
              <w:rPr>
                <w:rFonts w:asciiTheme="minorHAnsi" w:hAnsiTheme="minorHAnsi"/>
                <w:b/>
              </w:rPr>
            </w:pPr>
            <w:r w:rsidRPr="00343B99">
              <w:rPr>
                <w:rFonts w:asciiTheme="minorHAnsi" w:hAnsiTheme="minorHAnsi"/>
                <w:b/>
              </w:rPr>
              <w:t>State Fiscal Year</w:t>
            </w:r>
          </w:p>
        </w:tc>
      </w:tr>
      <w:tr w:rsidR="00E718D8" w:rsidRPr="00343B99" w14:paraId="2C64049B" w14:textId="77777777" w:rsidTr="00370DBF">
        <w:tc>
          <w:tcPr>
            <w:tcW w:w="1108" w:type="dxa"/>
            <w:vMerge/>
          </w:tcPr>
          <w:p w14:paraId="30029C27" w14:textId="77777777" w:rsidR="00E718D8" w:rsidRPr="00343B99" w:rsidRDefault="00E718D8" w:rsidP="00E718D8">
            <w:pPr>
              <w:spacing w:after="120"/>
              <w:contextualSpacing/>
              <w:jc w:val="center"/>
              <w:rPr>
                <w:rFonts w:asciiTheme="minorHAnsi" w:hAnsiTheme="minorHAnsi"/>
                <w:b/>
              </w:rPr>
            </w:pPr>
          </w:p>
        </w:tc>
        <w:tc>
          <w:tcPr>
            <w:tcW w:w="1141" w:type="dxa"/>
          </w:tcPr>
          <w:p w14:paraId="6F2D5E27" w14:textId="14FFD15B" w:rsidR="00E718D8" w:rsidRPr="00343B99" w:rsidRDefault="009275F8" w:rsidP="00E718D8">
            <w:pPr>
              <w:spacing w:after="120"/>
              <w:contextualSpacing/>
              <w:jc w:val="center"/>
              <w:rPr>
                <w:rFonts w:asciiTheme="minorHAnsi" w:hAnsiTheme="minorHAnsi"/>
                <w:b/>
              </w:rPr>
            </w:pPr>
            <w:r>
              <w:rPr>
                <w:rFonts w:asciiTheme="minorHAnsi" w:hAnsiTheme="minorHAnsi"/>
                <w:b/>
              </w:rPr>
              <w:t>2024-25</w:t>
            </w:r>
          </w:p>
        </w:tc>
        <w:tc>
          <w:tcPr>
            <w:tcW w:w="1130" w:type="dxa"/>
          </w:tcPr>
          <w:p w14:paraId="3A820424" w14:textId="6CF3D215" w:rsidR="00E718D8" w:rsidRPr="00343B99" w:rsidRDefault="003E38A9" w:rsidP="00E718D8">
            <w:pPr>
              <w:spacing w:after="120"/>
              <w:contextualSpacing/>
              <w:jc w:val="center"/>
              <w:rPr>
                <w:rFonts w:asciiTheme="minorHAnsi" w:hAnsiTheme="minorHAnsi"/>
                <w:b/>
              </w:rPr>
            </w:pPr>
            <w:r>
              <w:rPr>
                <w:rFonts w:asciiTheme="minorHAnsi" w:hAnsiTheme="minorHAnsi"/>
                <w:b/>
              </w:rPr>
              <w:t>2025-26</w:t>
            </w:r>
          </w:p>
        </w:tc>
        <w:tc>
          <w:tcPr>
            <w:tcW w:w="1166" w:type="dxa"/>
          </w:tcPr>
          <w:p w14:paraId="28E5AA3A" w14:textId="26EAAE3B" w:rsidR="00E718D8" w:rsidRPr="00343B99" w:rsidRDefault="00370DBF" w:rsidP="00E718D8">
            <w:pPr>
              <w:spacing w:after="120"/>
              <w:contextualSpacing/>
              <w:jc w:val="center"/>
              <w:rPr>
                <w:rFonts w:asciiTheme="minorHAnsi" w:hAnsiTheme="minorHAnsi"/>
                <w:b/>
              </w:rPr>
            </w:pPr>
            <w:r>
              <w:rPr>
                <w:rFonts w:asciiTheme="minorHAnsi" w:hAnsiTheme="minorHAnsi"/>
                <w:b/>
              </w:rPr>
              <w:t>2026-27</w:t>
            </w:r>
          </w:p>
        </w:tc>
        <w:tc>
          <w:tcPr>
            <w:tcW w:w="1073" w:type="dxa"/>
          </w:tcPr>
          <w:p w14:paraId="0DC0420C" w14:textId="7C17C847" w:rsidR="00E718D8" w:rsidRPr="00343B99" w:rsidRDefault="00E718D8" w:rsidP="00E718D8">
            <w:pPr>
              <w:spacing w:after="120"/>
              <w:contextualSpacing/>
              <w:jc w:val="center"/>
              <w:rPr>
                <w:rFonts w:asciiTheme="minorHAnsi" w:hAnsiTheme="minorHAnsi"/>
                <w:b/>
              </w:rPr>
            </w:pPr>
          </w:p>
        </w:tc>
        <w:tc>
          <w:tcPr>
            <w:tcW w:w="1162" w:type="dxa"/>
          </w:tcPr>
          <w:p w14:paraId="23B28B12" w14:textId="0D79289D" w:rsidR="00E718D8" w:rsidRPr="00343B99" w:rsidRDefault="00E718D8" w:rsidP="00E718D8">
            <w:pPr>
              <w:spacing w:after="120"/>
              <w:contextualSpacing/>
              <w:jc w:val="center"/>
              <w:rPr>
                <w:rFonts w:asciiTheme="minorHAnsi" w:hAnsiTheme="minorHAnsi"/>
                <w:b/>
              </w:rPr>
            </w:pPr>
          </w:p>
        </w:tc>
        <w:tc>
          <w:tcPr>
            <w:tcW w:w="1162" w:type="dxa"/>
          </w:tcPr>
          <w:p w14:paraId="138DFAAC" w14:textId="2845812B" w:rsidR="00E718D8" w:rsidRPr="00343B99" w:rsidRDefault="00E718D8" w:rsidP="00E718D8">
            <w:pPr>
              <w:spacing w:after="120"/>
              <w:contextualSpacing/>
              <w:jc w:val="center"/>
              <w:rPr>
                <w:rFonts w:asciiTheme="minorHAnsi" w:hAnsiTheme="minorHAnsi"/>
                <w:b/>
              </w:rPr>
            </w:pPr>
          </w:p>
        </w:tc>
        <w:tc>
          <w:tcPr>
            <w:tcW w:w="1073" w:type="dxa"/>
          </w:tcPr>
          <w:p w14:paraId="48D656C0" w14:textId="78852E13" w:rsidR="00E718D8" w:rsidRPr="00343B99" w:rsidRDefault="00E718D8" w:rsidP="00E718D8">
            <w:pPr>
              <w:spacing w:after="120"/>
              <w:contextualSpacing/>
              <w:jc w:val="center"/>
              <w:rPr>
                <w:rFonts w:asciiTheme="minorHAnsi" w:hAnsiTheme="minorHAnsi"/>
                <w:b/>
              </w:rPr>
            </w:pPr>
          </w:p>
        </w:tc>
        <w:tc>
          <w:tcPr>
            <w:tcW w:w="1183" w:type="dxa"/>
          </w:tcPr>
          <w:p w14:paraId="61CADB6A" w14:textId="11E0CF80" w:rsidR="00E718D8" w:rsidRDefault="00E718D8" w:rsidP="00E718D8">
            <w:pPr>
              <w:spacing w:after="120"/>
              <w:contextualSpacing/>
              <w:jc w:val="center"/>
              <w:rPr>
                <w:rFonts w:asciiTheme="minorHAnsi" w:hAnsiTheme="minorHAnsi"/>
                <w:b/>
              </w:rPr>
            </w:pPr>
          </w:p>
        </w:tc>
        <w:tc>
          <w:tcPr>
            <w:tcW w:w="1080" w:type="dxa"/>
          </w:tcPr>
          <w:p w14:paraId="3E505F47" w14:textId="11520043" w:rsidR="00E718D8" w:rsidRDefault="00E718D8" w:rsidP="00E718D8">
            <w:pPr>
              <w:spacing w:after="120"/>
              <w:contextualSpacing/>
              <w:jc w:val="center"/>
              <w:rPr>
                <w:rFonts w:asciiTheme="minorHAnsi" w:hAnsiTheme="minorHAnsi"/>
                <w:b/>
              </w:rPr>
            </w:pPr>
          </w:p>
        </w:tc>
      </w:tr>
      <w:tr w:rsidR="00370DBF" w:rsidRPr="00343B99" w14:paraId="1E246AE0" w14:textId="77777777" w:rsidTr="00370DBF">
        <w:tc>
          <w:tcPr>
            <w:tcW w:w="1108" w:type="dxa"/>
          </w:tcPr>
          <w:p w14:paraId="141171AC" w14:textId="77777777" w:rsidR="00370DBF" w:rsidRPr="00343B99" w:rsidRDefault="00370DBF" w:rsidP="00370DBF">
            <w:pPr>
              <w:spacing w:after="120"/>
              <w:contextualSpacing/>
              <w:jc w:val="center"/>
              <w:rPr>
                <w:rFonts w:asciiTheme="minorHAnsi" w:hAnsiTheme="minorHAnsi"/>
                <w:b/>
              </w:rPr>
            </w:pPr>
            <w:r w:rsidRPr="00343B99">
              <w:rPr>
                <w:rFonts w:asciiTheme="minorHAnsi" w:hAnsiTheme="minorHAnsi"/>
                <w:b/>
              </w:rPr>
              <w:t>Small</w:t>
            </w:r>
          </w:p>
        </w:tc>
        <w:tc>
          <w:tcPr>
            <w:tcW w:w="1141" w:type="dxa"/>
          </w:tcPr>
          <w:p w14:paraId="7C429245" w14:textId="3407402B" w:rsidR="00370DBF" w:rsidRPr="00343B99" w:rsidRDefault="00370DBF" w:rsidP="00370DBF">
            <w:pPr>
              <w:spacing w:after="120"/>
              <w:contextualSpacing/>
              <w:jc w:val="center"/>
              <w:rPr>
                <w:rFonts w:asciiTheme="minorHAnsi" w:hAnsiTheme="minorHAnsi"/>
                <w:b/>
              </w:rPr>
            </w:pPr>
            <w:r>
              <w:rPr>
                <w:rFonts w:asciiTheme="minorHAnsi" w:hAnsiTheme="minorHAnsi"/>
                <w:b/>
              </w:rPr>
              <w:t>$28,650</w:t>
            </w:r>
          </w:p>
        </w:tc>
        <w:tc>
          <w:tcPr>
            <w:tcW w:w="1130" w:type="dxa"/>
          </w:tcPr>
          <w:p w14:paraId="20F26983" w14:textId="2D106F11" w:rsidR="00370DBF" w:rsidRPr="00343B99" w:rsidRDefault="00370DBF" w:rsidP="00370DBF">
            <w:pPr>
              <w:spacing w:after="120"/>
              <w:contextualSpacing/>
              <w:jc w:val="center"/>
              <w:rPr>
                <w:rFonts w:asciiTheme="minorHAnsi" w:hAnsiTheme="minorHAnsi"/>
                <w:b/>
              </w:rPr>
            </w:pPr>
            <w:r>
              <w:rPr>
                <w:rFonts w:asciiTheme="minorHAnsi" w:hAnsiTheme="minorHAnsi"/>
                <w:b/>
              </w:rPr>
              <w:t>$28,650</w:t>
            </w:r>
          </w:p>
        </w:tc>
        <w:tc>
          <w:tcPr>
            <w:tcW w:w="1166" w:type="dxa"/>
          </w:tcPr>
          <w:p w14:paraId="0EC69797" w14:textId="7C63BCD7" w:rsidR="00370DBF" w:rsidRPr="00343B99" w:rsidRDefault="00370DBF" w:rsidP="00370DBF">
            <w:pPr>
              <w:spacing w:after="120"/>
              <w:contextualSpacing/>
              <w:jc w:val="center"/>
              <w:rPr>
                <w:rFonts w:asciiTheme="minorHAnsi" w:hAnsiTheme="minorHAnsi"/>
                <w:b/>
              </w:rPr>
            </w:pPr>
            <w:r>
              <w:rPr>
                <w:rFonts w:asciiTheme="minorHAnsi" w:hAnsiTheme="minorHAnsi"/>
                <w:b/>
              </w:rPr>
              <w:t>$28,650</w:t>
            </w:r>
          </w:p>
        </w:tc>
        <w:tc>
          <w:tcPr>
            <w:tcW w:w="1073" w:type="dxa"/>
          </w:tcPr>
          <w:p w14:paraId="73B23CE4" w14:textId="50AE5F45" w:rsidR="00370DBF" w:rsidRPr="00343B99" w:rsidRDefault="00370DBF" w:rsidP="00370DBF">
            <w:pPr>
              <w:spacing w:after="120"/>
              <w:contextualSpacing/>
              <w:jc w:val="center"/>
              <w:rPr>
                <w:rFonts w:asciiTheme="minorHAnsi" w:hAnsiTheme="minorHAnsi"/>
                <w:b/>
              </w:rPr>
            </w:pPr>
          </w:p>
        </w:tc>
        <w:tc>
          <w:tcPr>
            <w:tcW w:w="1162" w:type="dxa"/>
          </w:tcPr>
          <w:p w14:paraId="17D6EA25" w14:textId="7586D536" w:rsidR="00370DBF" w:rsidRPr="00343B99" w:rsidRDefault="00370DBF" w:rsidP="00370DBF">
            <w:pPr>
              <w:spacing w:after="120"/>
              <w:contextualSpacing/>
              <w:jc w:val="center"/>
              <w:rPr>
                <w:rFonts w:asciiTheme="minorHAnsi" w:hAnsiTheme="minorHAnsi"/>
                <w:b/>
              </w:rPr>
            </w:pPr>
          </w:p>
        </w:tc>
        <w:tc>
          <w:tcPr>
            <w:tcW w:w="1162" w:type="dxa"/>
          </w:tcPr>
          <w:p w14:paraId="2AE155E6" w14:textId="161D1A4E" w:rsidR="00370DBF" w:rsidRPr="00343B99" w:rsidRDefault="00370DBF" w:rsidP="00370DBF">
            <w:pPr>
              <w:spacing w:after="120"/>
              <w:contextualSpacing/>
              <w:jc w:val="center"/>
              <w:rPr>
                <w:rFonts w:asciiTheme="minorHAnsi" w:hAnsiTheme="minorHAnsi"/>
                <w:b/>
              </w:rPr>
            </w:pPr>
          </w:p>
        </w:tc>
        <w:tc>
          <w:tcPr>
            <w:tcW w:w="1073" w:type="dxa"/>
          </w:tcPr>
          <w:p w14:paraId="21A924D5" w14:textId="744BAC47" w:rsidR="00370DBF" w:rsidRPr="00343B99" w:rsidRDefault="00370DBF" w:rsidP="00370DBF">
            <w:pPr>
              <w:spacing w:after="120"/>
              <w:contextualSpacing/>
              <w:jc w:val="center"/>
              <w:rPr>
                <w:rFonts w:asciiTheme="minorHAnsi" w:hAnsiTheme="minorHAnsi"/>
                <w:b/>
              </w:rPr>
            </w:pPr>
          </w:p>
        </w:tc>
        <w:tc>
          <w:tcPr>
            <w:tcW w:w="1183" w:type="dxa"/>
          </w:tcPr>
          <w:p w14:paraId="70F6D5C5" w14:textId="458401F3" w:rsidR="00370DBF" w:rsidRPr="00343B99" w:rsidRDefault="00370DBF" w:rsidP="00370DBF">
            <w:pPr>
              <w:spacing w:after="120"/>
              <w:contextualSpacing/>
              <w:jc w:val="center"/>
              <w:rPr>
                <w:rFonts w:asciiTheme="minorHAnsi" w:hAnsiTheme="minorHAnsi"/>
                <w:b/>
              </w:rPr>
            </w:pPr>
          </w:p>
        </w:tc>
        <w:tc>
          <w:tcPr>
            <w:tcW w:w="1080" w:type="dxa"/>
          </w:tcPr>
          <w:p w14:paraId="4873D0F7" w14:textId="468A5FA4" w:rsidR="00370DBF" w:rsidRDefault="00370DBF" w:rsidP="00370DBF">
            <w:pPr>
              <w:spacing w:after="120"/>
              <w:contextualSpacing/>
              <w:jc w:val="center"/>
              <w:rPr>
                <w:rFonts w:asciiTheme="minorHAnsi" w:hAnsiTheme="minorHAnsi"/>
                <w:b/>
              </w:rPr>
            </w:pPr>
          </w:p>
        </w:tc>
      </w:tr>
      <w:tr w:rsidR="00370DBF" w:rsidRPr="00343B99" w14:paraId="77CF82C0" w14:textId="77777777" w:rsidTr="00370DBF">
        <w:tc>
          <w:tcPr>
            <w:tcW w:w="1108" w:type="dxa"/>
          </w:tcPr>
          <w:p w14:paraId="7624D05D" w14:textId="77777777" w:rsidR="00370DBF" w:rsidRPr="00343B99" w:rsidRDefault="00370DBF" w:rsidP="00370DBF">
            <w:pPr>
              <w:spacing w:after="120"/>
              <w:contextualSpacing/>
              <w:jc w:val="center"/>
              <w:rPr>
                <w:rFonts w:asciiTheme="minorHAnsi" w:hAnsiTheme="minorHAnsi"/>
                <w:b/>
              </w:rPr>
            </w:pPr>
            <w:r w:rsidRPr="00343B99">
              <w:rPr>
                <w:rFonts w:asciiTheme="minorHAnsi" w:hAnsiTheme="minorHAnsi"/>
                <w:b/>
              </w:rPr>
              <w:t>Medium</w:t>
            </w:r>
          </w:p>
        </w:tc>
        <w:tc>
          <w:tcPr>
            <w:tcW w:w="1141" w:type="dxa"/>
          </w:tcPr>
          <w:p w14:paraId="7D5A7A70" w14:textId="15357D00" w:rsidR="00370DBF" w:rsidRPr="00343B99" w:rsidRDefault="00370DBF" w:rsidP="00370DBF">
            <w:pPr>
              <w:spacing w:after="120"/>
              <w:contextualSpacing/>
              <w:jc w:val="center"/>
              <w:rPr>
                <w:rFonts w:asciiTheme="minorHAnsi" w:hAnsiTheme="minorHAnsi"/>
                <w:b/>
              </w:rPr>
            </w:pPr>
            <w:r>
              <w:rPr>
                <w:rFonts w:asciiTheme="minorHAnsi" w:hAnsiTheme="minorHAnsi"/>
                <w:b/>
              </w:rPr>
              <w:t>$57,300</w:t>
            </w:r>
          </w:p>
        </w:tc>
        <w:tc>
          <w:tcPr>
            <w:tcW w:w="1130" w:type="dxa"/>
          </w:tcPr>
          <w:p w14:paraId="1318283B" w14:textId="6A81A48F" w:rsidR="00370DBF" w:rsidRPr="00343B99" w:rsidRDefault="00370DBF" w:rsidP="00370DBF">
            <w:pPr>
              <w:spacing w:after="120"/>
              <w:contextualSpacing/>
              <w:jc w:val="center"/>
              <w:rPr>
                <w:rFonts w:asciiTheme="minorHAnsi" w:hAnsiTheme="minorHAnsi"/>
                <w:b/>
              </w:rPr>
            </w:pPr>
            <w:r>
              <w:rPr>
                <w:rFonts w:asciiTheme="minorHAnsi" w:hAnsiTheme="minorHAnsi"/>
                <w:b/>
              </w:rPr>
              <w:t>$57,300</w:t>
            </w:r>
          </w:p>
        </w:tc>
        <w:tc>
          <w:tcPr>
            <w:tcW w:w="1166" w:type="dxa"/>
          </w:tcPr>
          <w:p w14:paraId="20CC178F" w14:textId="19508D27" w:rsidR="00370DBF" w:rsidRPr="00343B99" w:rsidRDefault="00370DBF" w:rsidP="00370DBF">
            <w:pPr>
              <w:spacing w:after="120"/>
              <w:contextualSpacing/>
              <w:jc w:val="center"/>
              <w:rPr>
                <w:rFonts w:asciiTheme="minorHAnsi" w:hAnsiTheme="minorHAnsi"/>
                <w:b/>
              </w:rPr>
            </w:pPr>
            <w:r>
              <w:rPr>
                <w:rFonts w:asciiTheme="minorHAnsi" w:hAnsiTheme="minorHAnsi"/>
                <w:b/>
              </w:rPr>
              <w:t>$57,300</w:t>
            </w:r>
          </w:p>
        </w:tc>
        <w:tc>
          <w:tcPr>
            <w:tcW w:w="1073" w:type="dxa"/>
          </w:tcPr>
          <w:p w14:paraId="50B07E4C" w14:textId="73193147" w:rsidR="00370DBF" w:rsidRPr="00343B99" w:rsidRDefault="00370DBF" w:rsidP="00370DBF">
            <w:pPr>
              <w:spacing w:after="120"/>
              <w:contextualSpacing/>
              <w:jc w:val="center"/>
              <w:rPr>
                <w:rFonts w:asciiTheme="minorHAnsi" w:hAnsiTheme="minorHAnsi"/>
                <w:b/>
              </w:rPr>
            </w:pPr>
          </w:p>
        </w:tc>
        <w:tc>
          <w:tcPr>
            <w:tcW w:w="1162" w:type="dxa"/>
          </w:tcPr>
          <w:p w14:paraId="1DEA100A" w14:textId="54D10E2A" w:rsidR="00370DBF" w:rsidRPr="00343B99" w:rsidRDefault="00370DBF" w:rsidP="00370DBF">
            <w:pPr>
              <w:spacing w:after="120"/>
              <w:contextualSpacing/>
              <w:jc w:val="center"/>
              <w:rPr>
                <w:rFonts w:asciiTheme="minorHAnsi" w:hAnsiTheme="minorHAnsi"/>
                <w:b/>
              </w:rPr>
            </w:pPr>
          </w:p>
        </w:tc>
        <w:tc>
          <w:tcPr>
            <w:tcW w:w="1162" w:type="dxa"/>
          </w:tcPr>
          <w:p w14:paraId="37760EB9" w14:textId="0A4A05E6" w:rsidR="00370DBF" w:rsidRPr="00343B99" w:rsidRDefault="00370DBF" w:rsidP="00370DBF">
            <w:pPr>
              <w:spacing w:after="120"/>
              <w:contextualSpacing/>
              <w:jc w:val="center"/>
              <w:rPr>
                <w:rFonts w:asciiTheme="minorHAnsi" w:hAnsiTheme="minorHAnsi"/>
                <w:b/>
              </w:rPr>
            </w:pPr>
          </w:p>
        </w:tc>
        <w:tc>
          <w:tcPr>
            <w:tcW w:w="1073" w:type="dxa"/>
          </w:tcPr>
          <w:p w14:paraId="471FA6CC" w14:textId="3D629710" w:rsidR="00370DBF" w:rsidRPr="00343B99" w:rsidRDefault="00370DBF" w:rsidP="00370DBF">
            <w:pPr>
              <w:spacing w:after="120"/>
              <w:contextualSpacing/>
              <w:jc w:val="center"/>
              <w:rPr>
                <w:rFonts w:asciiTheme="minorHAnsi" w:hAnsiTheme="minorHAnsi"/>
                <w:b/>
              </w:rPr>
            </w:pPr>
          </w:p>
        </w:tc>
        <w:tc>
          <w:tcPr>
            <w:tcW w:w="1183" w:type="dxa"/>
          </w:tcPr>
          <w:p w14:paraId="244EC6EA" w14:textId="16FB2FB9" w:rsidR="00370DBF" w:rsidRPr="00343B99" w:rsidRDefault="00370DBF" w:rsidP="00370DBF">
            <w:pPr>
              <w:spacing w:after="120"/>
              <w:contextualSpacing/>
              <w:jc w:val="center"/>
              <w:rPr>
                <w:rFonts w:asciiTheme="minorHAnsi" w:hAnsiTheme="minorHAnsi"/>
                <w:b/>
              </w:rPr>
            </w:pPr>
          </w:p>
        </w:tc>
        <w:tc>
          <w:tcPr>
            <w:tcW w:w="1080" w:type="dxa"/>
          </w:tcPr>
          <w:p w14:paraId="7D31BA93" w14:textId="1CF5A658" w:rsidR="00370DBF" w:rsidRDefault="00370DBF" w:rsidP="00370DBF">
            <w:pPr>
              <w:spacing w:after="120"/>
              <w:contextualSpacing/>
              <w:jc w:val="center"/>
              <w:rPr>
                <w:rFonts w:asciiTheme="minorHAnsi" w:hAnsiTheme="minorHAnsi"/>
                <w:b/>
              </w:rPr>
            </w:pPr>
          </w:p>
        </w:tc>
      </w:tr>
      <w:tr w:rsidR="00370DBF" w:rsidRPr="00343B99" w14:paraId="00C986F1" w14:textId="77777777" w:rsidTr="00370DBF">
        <w:tc>
          <w:tcPr>
            <w:tcW w:w="1108" w:type="dxa"/>
          </w:tcPr>
          <w:p w14:paraId="6ED7E892" w14:textId="77777777" w:rsidR="00370DBF" w:rsidRPr="00343B99" w:rsidRDefault="00370DBF" w:rsidP="00370DBF">
            <w:pPr>
              <w:spacing w:after="120"/>
              <w:contextualSpacing/>
              <w:jc w:val="center"/>
              <w:rPr>
                <w:rFonts w:asciiTheme="minorHAnsi" w:hAnsiTheme="minorHAnsi"/>
                <w:b/>
              </w:rPr>
            </w:pPr>
            <w:r w:rsidRPr="00343B99">
              <w:rPr>
                <w:rFonts w:asciiTheme="minorHAnsi" w:hAnsiTheme="minorHAnsi"/>
                <w:b/>
              </w:rPr>
              <w:t>Large</w:t>
            </w:r>
          </w:p>
        </w:tc>
        <w:tc>
          <w:tcPr>
            <w:tcW w:w="1141" w:type="dxa"/>
          </w:tcPr>
          <w:p w14:paraId="6C022DBC" w14:textId="40093880" w:rsidR="00370DBF" w:rsidRPr="00343B99" w:rsidRDefault="00370DBF" w:rsidP="00370DBF">
            <w:pPr>
              <w:spacing w:after="120"/>
              <w:contextualSpacing/>
              <w:jc w:val="center"/>
              <w:rPr>
                <w:rFonts w:asciiTheme="minorHAnsi" w:hAnsiTheme="minorHAnsi"/>
                <w:b/>
              </w:rPr>
            </w:pPr>
            <w:r>
              <w:rPr>
                <w:rFonts w:asciiTheme="minorHAnsi" w:hAnsiTheme="minorHAnsi"/>
                <w:b/>
              </w:rPr>
              <w:t>$114,600</w:t>
            </w:r>
          </w:p>
        </w:tc>
        <w:tc>
          <w:tcPr>
            <w:tcW w:w="1130" w:type="dxa"/>
          </w:tcPr>
          <w:p w14:paraId="2AA17983" w14:textId="0A92E36F" w:rsidR="00370DBF" w:rsidRPr="00343B99" w:rsidRDefault="00370DBF" w:rsidP="00370DBF">
            <w:pPr>
              <w:spacing w:after="120"/>
              <w:contextualSpacing/>
              <w:jc w:val="center"/>
              <w:rPr>
                <w:rFonts w:asciiTheme="minorHAnsi" w:hAnsiTheme="minorHAnsi"/>
                <w:b/>
              </w:rPr>
            </w:pPr>
            <w:r>
              <w:rPr>
                <w:rFonts w:asciiTheme="minorHAnsi" w:hAnsiTheme="minorHAnsi"/>
                <w:b/>
              </w:rPr>
              <w:t>$114,600</w:t>
            </w:r>
          </w:p>
        </w:tc>
        <w:tc>
          <w:tcPr>
            <w:tcW w:w="1166" w:type="dxa"/>
          </w:tcPr>
          <w:p w14:paraId="0FBF65F1" w14:textId="4243CD30" w:rsidR="00370DBF" w:rsidRPr="00343B99" w:rsidRDefault="00370DBF" w:rsidP="00370DBF">
            <w:pPr>
              <w:spacing w:after="120"/>
              <w:contextualSpacing/>
              <w:jc w:val="center"/>
              <w:rPr>
                <w:rFonts w:asciiTheme="minorHAnsi" w:hAnsiTheme="minorHAnsi"/>
                <w:b/>
              </w:rPr>
            </w:pPr>
            <w:r>
              <w:rPr>
                <w:rFonts w:asciiTheme="minorHAnsi" w:hAnsiTheme="minorHAnsi"/>
                <w:b/>
              </w:rPr>
              <w:t>$114,600</w:t>
            </w:r>
          </w:p>
        </w:tc>
        <w:tc>
          <w:tcPr>
            <w:tcW w:w="1073" w:type="dxa"/>
          </w:tcPr>
          <w:p w14:paraId="3CB68FBD" w14:textId="4195EE8B" w:rsidR="00370DBF" w:rsidRPr="00343B99" w:rsidRDefault="00370DBF" w:rsidP="00370DBF">
            <w:pPr>
              <w:spacing w:after="120"/>
              <w:contextualSpacing/>
              <w:jc w:val="center"/>
              <w:rPr>
                <w:rFonts w:asciiTheme="minorHAnsi" w:hAnsiTheme="minorHAnsi"/>
                <w:b/>
              </w:rPr>
            </w:pPr>
          </w:p>
        </w:tc>
        <w:tc>
          <w:tcPr>
            <w:tcW w:w="1162" w:type="dxa"/>
          </w:tcPr>
          <w:p w14:paraId="42B5208C" w14:textId="75FE8DE1" w:rsidR="00370DBF" w:rsidRPr="00343B99" w:rsidRDefault="00370DBF" w:rsidP="00370DBF">
            <w:pPr>
              <w:spacing w:after="120"/>
              <w:contextualSpacing/>
              <w:jc w:val="center"/>
              <w:rPr>
                <w:rFonts w:asciiTheme="minorHAnsi" w:hAnsiTheme="minorHAnsi"/>
                <w:b/>
              </w:rPr>
            </w:pPr>
          </w:p>
        </w:tc>
        <w:tc>
          <w:tcPr>
            <w:tcW w:w="1162" w:type="dxa"/>
          </w:tcPr>
          <w:p w14:paraId="39AE815D" w14:textId="70DD5479" w:rsidR="00370DBF" w:rsidRPr="00343B99" w:rsidRDefault="00370DBF" w:rsidP="00370DBF">
            <w:pPr>
              <w:spacing w:after="120"/>
              <w:contextualSpacing/>
              <w:jc w:val="center"/>
              <w:rPr>
                <w:rFonts w:asciiTheme="minorHAnsi" w:hAnsiTheme="minorHAnsi"/>
                <w:b/>
              </w:rPr>
            </w:pPr>
          </w:p>
        </w:tc>
        <w:tc>
          <w:tcPr>
            <w:tcW w:w="1073" w:type="dxa"/>
          </w:tcPr>
          <w:p w14:paraId="76A592D7" w14:textId="6E19DA6C" w:rsidR="00370DBF" w:rsidRPr="00343B99" w:rsidRDefault="00370DBF" w:rsidP="00370DBF">
            <w:pPr>
              <w:spacing w:after="120"/>
              <w:contextualSpacing/>
              <w:jc w:val="center"/>
              <w:rPr>
                <w:rFonts w:asciiTheme="minorHAnsi" w:hAnsiTheme="minorHAnsi"/>
                <w:b/>
              </w:rPr>
            </w:pPr>
          </w:p>
        </w:tc>
        <w:tc>
          <w:tcPr>
            <w:tcW w:w="1183" w:type="dxa"/>
          </w:tcPr>
          <w:p w14:paraId="48FF3BF0" w14:textId="104CD1D0" w:rsidR="00370DBF" w:rsidRPr="00343B99" w:rsidRDefault="00370DBF" w:rsidP="00370DBF">
            <w:pPr>
              <w:spacing w:after="120"/>
              <w:contextualSpacing/>
              <w:jc w:val="center"/>
              <w:rPr>
                <w:rFonts w:asciiTheme="minorHAnsi" w:hAnsiTheme="minorHAnsi"/>
                <w:b/>
              </w:rPr>
            </w:pPr>
          </w:p>
        </w:tc>
        <w:tc>
          <w:tcPr>
            <w:tcW w:w="1080" w:type="dxa"/>
          </w:tcPr>
          <w:p w14:paraId="02AB4D85" w14:textId="7D67C065" w:rsidR="00370DBF" w:rsidRDefault="00370DBF" w:rsidP="00370DBF">
            <w:pPr>
              <w:spacing w:after="120"/>
              <w:contextualSpacing/>
              <w:jc w:val="center"/>
              <w:rPr>
                <w:rFonts w:asciiTheme="minorHAnsi" w:hAnsiTheme="minorHAnsi"/>
                <w:b/>
              </w:rPr>
            </w:pPr>
          </w:p>
        </w:tc>
      </w:tr>
      <w:tr w:rsidR="00370DBF" w:rsidRPr="00343B99" w14:paraId="7E4C6AE9" w14:textId="77777777" w:rsidTr="00370DBF">
        <w:tc>
          <w:tcPr>
            <w:tcW w:w="1108" w:type="dxa"/>
          </w:tcPr>
          <w:p w14:paraId="4E4A71B1" w14:textId="77777777" w:rsidR="00370DBF" w:rsidRPr="00343B99" w:rsidRDefault="00370DBF" w:rsidP="00370DBF">
            <w:pPr>
              <w:spacing w:after="120"/>
              <w:contextualSpacing/>
              <w:jc w:val="center"/>
              <w:rPr>
                <w:rFonts w:asciiTheme="minorHAnsi" w:hAnsiTheme="minorHAnsi"/>
                <w:b/>
              </w:rPr>
            </w:pPr>
            <w:r w:rsidRPr="00343B99">
              <w:rPr>
                <w:rFonts w:asciiTheme="minorHAnsi" w:hAnsiTheme="minorHAnsi"/>
                <w:b/>
              </w:rPr>
              <w:t>Very Large</w:t>
            </w:r>
          </w:p>
        </w:tc>
        <w:tc>
          <w:tcPr>
            <w:tcW w:w="1141" w:type="dxa"/>
          </w:tcPr>
          <w:p w14:paraId="18F86F3C" w14:textId="12E6ADC6" w:rsidR="00370DBF" w:rsidRPr="00343B99" w:rsidRDefault="00370DBF" w:rsidP="00370DBF">
            <w:pPr>
              <w:spacing w:after="120"/>
              <w:contextualSpacing/>
              <w:jc w:val="center"/>
              <w:rPr>
                <w:rFonts w:asciiTheme="minorHAnsi" w:hAnsiTheme="minorHAnsi"/>
                <w:b/>
              </w:rPr>
            </w:pPr>
            <w:r>
              <w:rPr>
                <w:rFonts w:asciiTheme="minorHAnsi" w:hAnsiTheme="minorHAnsi"/>
                <w:b/>
              </w:rPr>
              <w:t>$171,900</w:t>
            </w:r>
          </w:p>
        </w:tc>
        <w:tc>
          <w:tcPr>
            <w:tcW w:w="1130" w:type="dxa"/>
          </w:tcPr>
          <w:p w14:paraId="0DD012AA" w14:textId="402BD8DD" w:rsidR="00370DBF" w:rsidRPr="00343B99" w:rsidRDefault="00370DBF" w:rsidP="00370DBF">
            <w:pPr>
              <w:spacing w:after="120"/>
              <w:contextualSpacing/>
              <w:jc w:val="center"/>
              <w:rPr>
                <w:rFonts w:asciiTheme="minorHAnsi" w:hAnsiTheme="minorHAnsi"/>
                <w:b/>
              </w:rPr>
            </w:pPr>
            <w:r>
              <w:rPr>
                <w:rFonts w:asciiTheme="minorHAnsi" w:hAnsiTheme="minorHAnsi"/>
                <w:b/>
              </w:rPr>
              <w:t>$171,900</w:t>
            </w:r>
          </w:p>
        </w:tc>
        <w:tc>
          <w:tcPr>
            <w:tcW w:w="1166" w:type="dxa"/>
          </w:tcPr>
          <w:p w14:paraId="0268AA46" w14:textId="3E2370DF" w:rsidR="00370DBF" w:rsidRPr="00343B99" w:rsidRDefault="00370DBF" w:rsidP="00370DBF">
            <w:pPr>
              <w:spacing w:after="120"/>
              <w:contextualSpacing/>
              <w:jc w:val="center"/>
              <w:rPr>
                <w:rFonts w:asciiTheme="minorHAnsi" w:hAnsiTheme="minorHAnsi"/>
                <w:b/>
              </w:rPr>
            </w:pPr>
            <w:r>
              <w:rPr>
                <w:rFonts w:asciiTheme="minorHAnsi" w:hAnsiTheme="minorHAnsi"/>
                <w:b/>
              </w:rPr>
              <w:t>$171,900</w:t>
            </w:r>
          </w:p>
        </w:tc>
        <w:tc>
          <w:tcPr>
            <w:tcW w:w="1073" w:type="dxa"/>
          </w:tcPr>
          <w:p w14:paraId="045900D9" w14:textId="62DE9762" w:rsidR="00370DBF" w:rsidRPr="00343B99" w:rsidRDefault="00370DBF" w:rsidP="00370DBF">
            <w:pPr>
              <w:spacing w:after="120"/>
              <w:contextualSpacing/>
              <w:jc w:val="center"/>
              <w:rPr>
                <w:rFonts w:asciiTheme="minorHAnsi" w:hAnsiTheme="minorHAnsi"/>
                <w:b/>
              </w:rPr>
            </w:pPr>
          </w:p>
        </w:tc>
        <w:tc>
          <w:tcPr>
            <w:tcW w:w="1162" w:type="dxa"/>
          </w:tcPr>
          <w:p w14:paraId="658227E6" w14:textId="2B3672CB" w:rsidR="00370DBF" w:rsidRPr="00343B99" w:rsidRDefault="00370DBF" w:rsidP="00370DBF">
            <w:pPr>
              <w:spacing w:after="120"/>
              <w:contextualSpacing/>
              <w:jc w:val="center"/>
              <w:rPr>
                <w:rFonts w:asciiTheme="minorHAnsi" w:hAnsiTheme="minorHAnsi"/>
                <w:b/>
              </w:rPr>
            </w:pPr>
          </w:p>
        </w:tc>
        <w:tc>
          <w:tcPr>
            <w:tcW w:w="1162" w:type="dxa"/>
          </w:tcPr>
          <w:p w14:paraId="4D4193B0" w14:textId="063E9DC0" w:rsidR="00370DBF" w:rsidRPr="00343B99" w:rsidRDefault="00370DBF" w:rsidP="00370DBF">
            <w:pPr>
              <w:spacing w:after="120"/>
              <w:contextualSpacing/>
              <w:jc w:val="center"/>
              <w:rPr>
                <w:rFonts w:asciiTheme="minorHAnsi" w:hAnsiTheme="minorHAnsi"/>
                <w:b/>
              </w:rPr>
            </w:pPr>
          </w:p>
        </w:tc>
        <w:tc>
          <w:tcPr>
            <w:tcW w:w="1073" w:type="dxa"/>
          </w:tcPr>
          <w:p w14:paraId="67CB9C21" w14:textId="20C37A7C" w:rsidR="00370DBF" w:rsidRPr="00343B99" w:rsidRDefault="00370DBF" w:rsidP="00370DBF">
            <w:pPr>
              <w:spacing w:after="120"/>
              <w:contextualSpacing/>
              <w:jc w:val="center"/>
              <w:rPr>
                <w:rFonts w:asciiTheme="minorHAnsi" w:hAnsiTheme="minorHAnsi"/>
                <w:b/>
              </w:rPr>
            </w:pPr>
          </w:p>
        </w:tc>
        <w:tc>
          <w:tcPr>
            <w:tcW w:w="1183" w:type="dxa"/>
          </w:tcPr>
          <w:p w14:paraId="09318BFD" w14:textId="5D805ED8" w:rsidR="00370DBF" w:rsidRPr="00343B99" w:rsidRDefault="00370DBF" w:rsidP="00370DBF">
            <w:pPr>
              <w:spacing w:after="120"/>
              <w:contextualSpacing/>
              <w:jc w:val="center"/>
              <w:rPr>
                <w:rFonts w:asciiTheme="minorHAnsi" w:hAnsiTheme="minorHAnsi"/>
                <w:b/>
              </w:rPr>
            </w:pPr>
          </w:p>
        </w:tc>
        <w:tc>
          <w:tcPr>
            <w:tcW w:w="1080" w:type="dxa"/>
          </w:tcPr>
          <w:p w14:paraId="4CD40EE6" w14:textId="29B69BB6" w:rsidR="00370DBF" w:rsidRDefault="00370DBF" w:rsidP="00370DBF">
            <w:pPr>
              <w:spacing w:after="120"/>
              <w:contextualSpacing/>
              <w:jc w:val="center"/>
              <w:rPr>
                <w:rFonts w:asciiTheme="minorHAnsi" w:hAnsiTheme="minorHAnsi"/>
                <w:b/>
              </w:rPr>
            </w:pPr>
          </w:p>
        </w:tc>
      </w:tr>
    </w:tbl>
    <w:p w14:paraId="00984D04" w14:textId="77777777" w:rsidR="00386250" w:rsidRDefault="00386250" w:rsidP="00476878">
      <w:pPr>
        <w:spacing w:after="120"/>
        <w:rPr>
          <w:rFonts w:asciiTheme="minorHAnsi" w:hAnsiTheme="minorHAnsi"/>
        </w:rPr>
      </w:pPr>
    </w:p>
    <w:p w14:paraId="1F5899C2" w14:textId="6DCF4F11" w:rsidR="00476878" w:rsidRPr="00343B99" w:rsidRDefault="00476878" w:rsidP="00476878">
      <w:pPr>
        <w:spacing w:after="120"/>
        <w:rPr>
          <w:rFonts w:asciiTheme="minorHAnsi" w:hAnsiTheme="minorHAnsi"/>
        </w:rPr>
      </w:pPr>
      <w:r w:rsidRPr="00343B99">
        <w:rPr>
          <w:rFonts w:asciiTheme="minorHAnsi" w:hAnsiTheme="minorHAnsi"/>
        </w:rPr>
        <w:t>Billing is conducted on a quarterly cycle and commences once an HIO completes onboarding to the P3N. If an HIO joins the P3N part-way through a fiscal year, they will only be billed for the portion of the year they are connected to the P3N, starting in the first full month in which they connected to the P3N. For example, an HIO that becomes operational in its connection to the P3N on December 15 will be billed for six months (January through June) of that fiscal year, or half the total amount reflected in the table.</w:t>
      </w:r>
    </w:p>
    <w:p w14:paraId="250F6345" w14:textId="77777777" w:rsidR="00476878" w:rsidRPr="00343B99" w:rsidRDefault="00476878" w:rsidP="00476878">
      <w:pPr>
        <w:spacing w:after="120"/>
        <w:rPr>
          <w:rFonts w:asciiTheme="minorHAnsi" w:hAnsiTheme="minorHAnsi"/>
          <w:b/>
          <w:u w:val="single"/>
        </w:rPr>
      </w:pPr>
      <w:r w:rsidRPr="00343B99">
        <w:rPr>
          <w:rFonts w:asciiTheme="minorHAnsi" w:hAnsiTheme="minorHAnsi"/>
          <w:b/>
          <w:u w:val="single"/>
        </w:rPr>
        <w:t>Size Category Calculation</w:t>
      </w:r>
    </w:p>
    <w:p w14:paraId="5A6025F5" w14:textId="77777777" w:rsidR="00476878" w:rsidRPr="00343B99" w:rsidRDefault="00476878" w:rsidP="00476878">
      <w:pPr>
        <w:spacing w:after="120"/>
        <w:rPr>
          <w:rFonts w:asciiTheme="minorHAnsi" w:hAnsiTheme="minorHAnsi"/>
          <w:noProof/>
        </w:rPr>
      </w:pPr>
      <w:r w:rsidRPr="00343B99">
        <w:rPr>
          <w:rFonts w:asciiTheme="minorHAnsi" w:hAnsiTheme="minorHAnsi"/>
        </w:rPr>
        <w:t>The size category for each participating HIO will be based on a point system. Points are assigned to various types of participants withi</w:t>
      </w:r>
      <w:r w:rsidR="00A83499">
        <w:rPr>
          <w:rFonts w:asciiTheme="minorHAnsi" w:hAnsiTheme="minorHAnsi"/>
        </w:rPr>
        <w:t xml:space="preserve">n each HIO. </w:t>
      </w:r>
      <w:r w:rsidRPr="00343B99">
        <w:rPr>
          <w:rFonts w:asciiTheme="minorHAnsi" w:hAnsiTheme="minorHAnsi"/>
        </w:rPr>
        <w:t xml:space="preserve">The point structure may be modified </w:t>
      </w:r>
      <w:r w:rsidR="00276928">
        <w:rPr>
          <w:rFonts w:asciiTheme="minorHAnsi" w:hAnsiTheme="minorHAnsi"/>
        </w:rPr>
        <w:t>by the Department</w:t>
      </w:r>
      <w:r w:rsidRPr="00343B99">
        <w:rPr>
          <w:rFonts w:asciiTheme="minorHAnsi" w:hAnsiTheme="minorHAnsi"/>
        </w:rPr>
        <w:t>, informed by input from HIOs participating in the P3N</w:t>
      </w:r>
      <w:r w:rsidR="00A83499">
        <w:rPr>
          <w:rFonts w:asciiTheme="minorHAnsi" w:hAnsiTheme="minorHAnsi"/>
        </w:rPr>
        <w:t xml:space="preserve"> and the Advisory Board</w:t>
      </w:r>
      <w:r w:rsidRPr="00343B99">
        <w:rPr>
          <w:rFonts w:asciiTheme="minorHAnsi" w:hAnsiTheme="minorHAnsi"/>
        </w:rPr>
        <w:t xml:space="preserve">. </w:t>
      </w:r>
      <w:r w:rsidR="006D2DC1">
        <w:rPr>
          <w:rFonts w:asciiTheme="minorHAnsi" w:hAnsiTheme="minorHAnsi"/>
        </w:rPr>
        <w:t>The following chart</w:t>
      </w:r>
      <w:r w:rsidR="006D2DC1" w:rsidRPr="00343B99">
        <w:rPr>
          <w:rFonts w:asciiTheme="minorHAnsi" w:hAnsiTheme="minorHAnsi"/>
        </w:rPr>
        <w:t xml:space="preserve"> show</w:t>
      </w:r>
      <w:r w:rsidR="006D2DC1">
        <w:rPr>
          <w:rFonts w:asciiTheme="minorHAnsi" w:hAnsiTheme="minorHAnsi"/>
        </w:rPr>
        <w:t>s</w:t>
      </w:r>
      <w:r w:rsidR="006D2DC1" w:rsidRPr="00343B99">
        <w:rPr>
          <w:rFonts w:asciiTheme="minorHAnsi" w:hAnsiTheme="minorHAnsi"/>
        </w:rPr>
        <w:t xml:space="preserve"> the point structure.</w:t>
      </w:r>
    </w:p>
    <w:p w14:paraId="359D0451" w14:textId="77777777" w:rsidR="001E2B06" w:rsidRDefault="001E2B06">
      <w:pPr>
        <w:spacing w:after="160" w:line="259" w:lineRule="auto"/>
        <w:rPr>
          <w:rFonts w:asciiTheme="minorHAnsi" w:hAnsiTheme="minorHAnsi"/>
          <w:noProof/>
        </w:rPr>
      </w:pPr>
      <w:r>
        <w:rPr>
          <w:rFonts w:asciiTheme="minorHAnsi" w:hAnsiTheme="minorHAnsi"/>
          <w:noProof/>
        </w:rPr>
        <w:br w:type="page"/>
      </w:r>
    </w:p>
    <w:tbl>
      <w:tblPr>
        <w:tblW w:w="8680" w:type="dxa"/>
        <w:tblCellMar>
          <w:top w:w="15" w:type="dxa"/>
          <w:bottom w:w="15" w:type="dxa"/>
        </w:tblCellMar>
        <w:tblLook w:val="04A0" w:firstRow="1" w:lastRow="0" w:firstColumn="1" w:lastColumn="0" w:noHBand="0" w:noVBand="1"/>
      </w:tblPr>
      <w:tblGrid>
        <w:gridCol w:w="7022"/>
        <w:gridCol w:w="1658"/>
      </w:tblGrid>
      <w:tr w:rsidR="00101B66" w:rsidRPr="00101B66" w14:paraId="27B31DDC" w14:textId="77777777" w:rsidTr="00101B66">
        <w:trPr>
          <w:trHeight w:val="375"/>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63BB68DF" w14:textId="77777777" w:rsidR="00101B66" w:rsidRPr="00101B66" w:rsidRDefault="00101B66" w:rsidP="00101B66">
            <w:pPr>
              <w:jc w:val="center"/>
              <w:rPr>
                <w:rFonts w:ascii="Calibri" w:hAnsi="Calibri"/>
                <w:b/>
                <w:bCs/>
                <w:color w:val="FFFFFF"/>
                <w:sz w:val="28"/>
                <w:szCs w:val="28"/>
              </w:rPr>
            </w:pPr>
            <w:r w:rsidRPr="00101B66">
              <w:rPr>
                <w:rFonts w:ascii="Calibri" w:hAnsi="Calibri"/>
                <w:b/>
                <w:bCs/>
                <w:color w:val="FFFFFF"/>
                <w:sz w:val="28"/>
                <w:szCs w:val="28"/>
              </w:rPr>
              <w:lastRenderedPageBreak/>
              <w:t xml:space="preserve">Point Schedule for </w:t>
            </w:r>
            <w:r w:rsidR="00A83499">
              <w:rPr>
                <w:rFonts w:ascii="Calibri" w:hAnsi="Calibri"/>
                <w:b/>
                <w:bCs/>
                <w:color w:val="FFFFFF"/>
                <w:sz w:val="28"/>
                <w:szCs w:val="28"/>
              </w:rPr>
              <w:t xml:space="preserve">HIOs with Payer </w:t>
            </w:r>
            <w:r>
              <w:rPr>
                <w:rFonts w:ascii="Calibri" w:hAnsi="Calibri"/>
                <w:b/>
                <w:bCs/>
                <w:color w:val="FFFFFF"/>
                <w:sz w:val="28"/>
                <w:szCs w:val="28"/>
              </w:rPr>
              <w:t xml:space="preserve">or Hospital </w:t>
            </w:r>
            <w:r w:rsidR="00A83499">
              <w:rPr>
                <w:rFonts w:ascii="Calibri" w:hAnsi="Calibri"/>
                <w:b/>
                <w:bCs/>
                <w:color w:val="FFFFFF"/>
                <w:sz w:val="28"/>
                <w:szCs w:val="28"/>
              </w:rPr>
              <w:t>Participation</w:t>
            </w:r>
          </w:p>
        </w:tc>
      </w:tr>
      <w:tr w:rsidR="00101B66" w:rsidRPr="00101B66" w14:paraId="52FC7B38" w14:textId="77777777" w:rsidTr="00101B66">
        <w:trPr>
          <w:trHeight w:val="315"/>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1D8D5B83" w14:textId="77777777" w:rsidR="00101B66" w:rsidRPr="00101B66" w:rsidRDefault="00101B66" w:rsidP="00101B66">
            <w:pPr>
              <w:jc w:val="center"/>
              <w:rPr>
                <w:rFonts w:ascii="Calibri" w:hAnsi="Calibri"/>
                <w:b/>
                <w:bCs/>
                <w:color w:val="FFFFFF"/>
                <w:sz w:val="22"/>
                <w:szCs w:val="22"/>
              </w:rPr>
            </w:pPr>
            <w:r w:rsidRPr="00101B66">
              <w:rPr>
                <w:rFonts w:ascii="Calibri" w:hAnsi="Calibri"/>
                <w:b/>
                <w:bCs/>
                <w:color w:val="FFFFFF"/>
                <w:sz w:val="22"/>
                <w:szCs w:val="22"/>
              </w:rPr>
              <w:t>Payers</w:t>
            </w:r>
          </w:p>
        </w:tc>
      </w:tr>
      <w:tr w:rsidR="00101B66" w:rsidRPr="00101B66" w14:paraId="64684696" w14:textId="77777777" w:rsidTr="00101B66">
        <w:trPr>
          <w:trHeight w:val="600"/>
        </w:trPr>
        <w:tc>
          <w:tcPr>
            <w:tcW w:w="7022" w:type="dxa"/>
            <w:tcBorders>
              <w:top w:val="single" w:sz="4" w:space="0" w:color="auto"/>
              <w:left w:val="single" w:sz="4" w:space="0" w:color="auto"/>
              <w:bottom w:val="single" w:sz="4" w:space="0" w:color="auto"/>
              <w:right w:val="single" w:sz="4" w:space="0" w:color="auto"/>
            </w:tcBorders>
            <w:vAlign w:val="center"/>
            <w:hideMark/>
          </w:tcPr>
          <w:p w14:paraId="3B0FE9E3" w14:textId="77777777" w:rsidR="00101B66" w:rsidRPr="00101B66" w:rsidRDefault="00101B66" w:rsidP="00101B66">
            <w:pPr>
              <w:rPr>
                <w:rFonts w:ascii="Calibri" w:hAnsi="Calibri"/>
                <w:sz w:val="22"/>
                <w:szCs w:val="22"/>
              </w:rPr>
            </w:pPr>
            <w:r w:rsidRPr="00101B66">
              <w:rPr>
                <w:rFonts w:ascii="Calibri" w:hAnsi="Calibri"/>
                <w:sz w:val="22"/>
                <w:szCs w:val="22"/>
              </w:rPr>
              <w:t>Pennsylvania covered lives for which payers have HIE access via your HIO</w:t>
            </w:r>
          </w:p>
        </w:tc>
        <w:tc>
          <w:tcPr>
            <w:tcW w:w="1658" w:type="dxa"/>
            <w:tcBorders>
              <w:top w:val="single" w:sz="4" w:space="0" w:color="auto"/>
              <w:left w:val="single" w:sz="4" w:space="0" w:color="auto"/>
              <w:bottom w:val="single" w:sz="4" w:space="0" w:color="auto"/>
              <w:right w:val="single" w:sz="4" w:space="0" w:color="auto"/>
            </w:tcBorders>
            <w:vAlign w:val="center"/>
            <w:hideMark/>
          </w:tcPr>
          <w:p w14:paraId="6C8C7B6F"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1 point per 1,000</w:t>
            </w:r>
            <w:r w:rsidRPr="00101B66">
              <w:rPr>
                <w:rFonts w:ascii="Calibri" w:hAnsi="Calibri"/>
                <w:color w:val="000000"/>
                <w:sz w:val="22"/>
                <w:szCs w:val="22"/>
              </w:rPr>
              <w:br/>
              <w:t>covered lives</w:t>
            </w:r>
          </w:p>
        </w:tc>
      </w:tr>
      <w:tr w:rsidR="00101B66" w:rsidRPr="00101B66" w14:paraId="4280B6B4"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0F68CCAD" w14:textId="77777777" w:rsidR="00101B66" w:rsidRPr="00101B66" w:rsidRDefault="00101B66" w:rsidP="00101B66">
            <w:pPr>
              <w:jc w:val="center"/>
              <w:rPr>
                <w:rFonts w:ascii="Calibri" w:hAnsi="Calibri"/>
                <w:b/>
                <w:bCs/>
                <w:color w:val="FFFFFF"/>
                <w:sz w:val="22"/>
                <w:szCs w:val="22"/>
              </w:rPr>
            </w:pPr>
            <w:r w:rsidRPr="00101B66">
              <w:rPr>
                <w:rFonts w:ascii="Calibri" w:hAnsi="Calibri"/>
                <w:b/>
                <w:bCs/>
                <w:color w:val="FFFFFF"/>
                <w:sz w:val="22"/>
                <w:szCs w:val="22"/>
              </w:rPr>
              <w:t>Hospitals</w:t>
            </w:r>
          </w:p>
        </w:tc>
      </w:tr>
      <w:tr w:rsidR="00101B66" w:rsidRPr="00101B66" w14:paraId="6A3DAB3D"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5EEDF786" w14:textId="77777777" w:rsidR="00101B66" w:rsidRPr="00101B66" w:rsidRDefault="00101B66" w:rsidP="00101B66">
            <w:pPr>
              <w:jc w:val="center"/>
              <w:rPr>
                <w:rFonts w:ascii="Calibri" w:hAnsi="Calibri"/>
                <w:sz w:val="22"/>
                <w:szCs w:val="22"/>
              </w:rPr>
            </w:pPr>
            <w:r w:rsidRPr="00101B66">
              <w:rPr>
                <w:rFonts w:ascii="Calibri" w:hAnsi="Calibri"/>
                <w:sz w:val="22"/>
                <w:szCs w:val="22"/>
              </w:rPr>
              <w:t>Per location, regardless of affiliation</w:t>
            </w:r>
            <w:r w:rsidRPr="00101B66">
              <w:rPr>
                <w:rFonts w:ascii="Calibri" w:hAnsi="Calibri"/>
                <w:sz w:val="22"/>
                <w:szCs w:val="22"/>
                <w:vertAlign w:val="superscript"/>
              </w:rPr>
              <w:t>1</w:t>
            </w:r>
            <w:r w:rsidRPr="00101B66">
              <w:rPr>
                <w:rFonts w:ascii="Calibri" w:hAnsi="Calibri"/>
                <w:sz w:val="22"/>
                <w:szCs w:val="22"/>
              </w:rPr>
              <w:t>.</w:t>
            </w:r>
          </w:p>
        </w:tc>
      </w:tr>
      <w:tr w:rsidR="00101B66" w:rsidRPr="00101B66" w14:paraId="564BA7DC" w14:textId="77777777" w:rsidTr="00101B66">
        <w:trPr>
          <w:trHeight w:val="315"/>
        </w:trPr>
        <w:tc>
          <w:tcPr>
            <w:tcW w:w="7022" w:type="dxa"/>
            <w:tcBorders>
              <w:top w:val="single" w:sz="4" w:space="0" w:color="auto"/>
              <w:left w:val="single" w:sz="4" w:space="0" w:color="auto"/>
              <w:bottom w:val="single" w:sz="4" w:space="0" w:color="auto"/>
              <w:right w:val="single" w:sz="4" w:space="0" w:color="auto"/>
            </w:tcBorders>
            <w:vAlign w:val="center"/>
            <w:hideMark/>
          </w:tcPr>
          <w:p w14:paraId="5ADF4203" w14:textId="77777777" w:rsidR="00101B66" w:rsidRPr="00101B66" w:rsidRDefault="00101B66" w:rsidP="00101B66">
            <w:pPr>
              <w:rPr>
                <w:rFonts w:ascii="Calibri" w:hAnsi="Calibri"/>
                <w:sz w:val="22"/>
                <w:szCs w:val="22"/>
              </w:rPr>
            </w:pPr>
            <w:r w:rsidRPr="00101B66">
              <w:rPr>
                <w:rFonts w:ascii="Calibri" w:hAnsi="Calibri"/>
                <w:sz w:val="22"/>
                <w:szCs w:val="22"/>
              </w:rPr>
              <w:t>Critical Access Hospitals</w:t>
            </w:r>
            <w:r w:rsidRPr="00101B66">
              <w:rPr>
                <w:rFonts w:ascii="Calibri" w:hAnsi="Calibri"/>
                <w:sz w:val="22"/>
                <w:szCs w:val="22"/>
                <w:vertAlign w:val="superscript"/>
              </w:rPr>
              <w:t>2</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41F45AC9"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0 points</w:t>
            </w:r>
          </w:p>
        </w:tc>
      </w:tr>
      <w:tr w:rsidR="00101B66" w:rsidRPr="00101B66" w14:paraId="428AE9C9" w14:textId="77777777" w:rsidTr="00101B66">
        <w:trPr>
          <w:trHeight w:val="315"/>
        </w:trPr>
        <w:tc>
          <w:tcPr>
            <w:tcW w:w="7022" w:type="dxa"/>
            <w:tcBorders>
              <w:top w:val="single" w:sz="4" w:space="0" w:color="auto"/>
              <w:left w:val="single" w:sz="4" w:space="0" w:color="auto"/>
              <w:bottom w:val="single" w:sz="4" w:space="0" w:color="auto"/>
              <w:right w:val="single" w:sz="4" w:space="0" w:color="auto"/>
            </w:tcBorders>
            <w:vAlign w:val="center"/>
            <w:hideMark/>
          </w:tcPr>
          <w:p w14:paraId="2F7390C5" w14:textId="77777777" w:rsidR="00101B66" w:rsidRPr="00101B66" w:rsidRDefault="00101B66" w:rsidP="00101B66">
            <w:pPr>
              <w:rPr>
                <w:rFonts w:ascii="Calibri" w:hAnsi="Calibri"/>
                <w:sz w:val="22"/>
                <w:szCs w:val="22"/>
              </w:rPr>
            </w:pPr>
            <w:r w:rsidRPr="00101B66">
              <w:rPr>
                <w:rFonts w:ascii="Calibri" w:hAnsi="Calibri"/>
                <w:sz w:val="22"/>
                <w:szCs w:val="22"/>
              </w:rPr>
              <w:t>Small Hospitals (&lt;150 beds)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7F8593FA"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25 points</w:t>
            </w:r>
          </w:p>
        </w:tc>
      </w:tr>
      <w:tr w:rsidR="00101B66" w:rsidRPr="00101B66" w14:paraId="6D17718D" w14:textId="77777777" w:rsidTr="00101B66">
        <w:trPr>
          <w:trHeight w:val="315"/>
        </w:trPr>
        <w:tc>
          <w:tcPr>
            <w:tcW w:w="7022" w:type="dxa"/>
            <w:tcBorders>
              <w:top w:val="single" w:sz="4" w:space="0" w:color="auto"/>
              <w:left w:val="single" w:sz="4" w:space="0" w:color="auto"/>
              <w:bottom w:val="single" w:sz="4" w:space="0" w:color="auto"/>
              <w:right w:val="single" w:sz="4" w:space="0" w:color="auto"/>
            </w:tcBorders>
            <w:vAlign w:val="center"/>
            <w:hideMark/>
          </w:tcPr>
          <w:p w14:paraId="6637A98C" w14:textId="77777777" w:rsidR="00101B66" w:rsidRPr="00101B66" w:rsidRDefault="00101B66" w:rsidP="00101B66">
            <w:pPr>
              <w:rPr>
                <w:rFonts w:ascii="Calibri" w:hAnsi="Calibri"/>
                <w:sz w:val="22"/>
                <w:szCs w:val="22"/>
              </w:rPr>
            </w:pPr>
            <w:r w:rsidRPr="00101B66">
              <w:rPr>
                <w:rFonts w:ascii="Calibri" w:hAnsi="Calibri"/>
                <w:sz w:val="22"/>
                <w:szCs w:val="22"/>
              </w:rPr>
              <w:t>Medium Hospitals (150-300 beds)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00703E6C"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50 points</w:t>
            </w:r>
          </w:p>
        </w:tc>
      </w:tr>
      <w:tr w:rsidR="00101B66" w:rsidRPr="00101B66" w14:paraId="1E5A1B2B" w14:textId="77777777" w:rsidTr="00101B66">
        <w:trPr>
          <w:trHeight w:val="315"/>
        </w:trPr>
        <w:tc>
          <w:tcPr>
            <w:tcW w:w="7022" w:type="dxa"/>
            <w:tcBorders>
              <w:top w:val="single" w:sz="4" w:space="0" w:color="auto"/>
              <w:left w:val="single" w:sz="4" w:space="0" w:color="auto"/>
              <w:bottom w:val="single" w:sz="4" w:space="0" w:color="auto"/>
              <w:right w:val="single" w:sz="4" w:space="0" w:color="auto"/>
            </w:tcBorders>
            <w:vAlign w:val="center"/>
            <w:hideMark/>
          </w:tcPr>
          <w:p w14:paraId="376C1088" w14:textId="77777777" w:rsidR="00101B66" w:rsidRPr="00101B66" w:rsidRDefault="00101B66" w:rsidP="00101B66">
            <w:pPr>
              <w:rPr>
                <w:rFonts w:ascii="Calibri" w:hAnsi="Calibri"/>
                <w:sz w:val="22"/>
                <w:szCs w:val="22"/>
              </w:rPr>
            </w:pPr>
            <w:r w:rsidRPr="00101B66">
              <w:rPr>
                <w:rFonts w:ascii="Calibri" w:hAnsi="Calibri"/>
                <w:sz w:val="22"/>
                <w:szCs w:val="22"/>
              </w:rPr>
              <w:t>Large Hospitals (&gt;300 beds)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47C2FC69"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100 points</w:t>
            </w:r>
          </w:p>
        </w:tc>
      </w:tr>
      <w:tr w:rsidR="00101B66" w:rsidRPr="00101B66" w14:paraId="7F104312" w14:textId="77777777" w:rsidTr="00101B66">
        <w:trPr>
          <w:trHeight w:val="375"/>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01D0FDFE" w14:textId="77777777" w:rsidR="00101B66" w:rsidRDefault="00101B66" w:rsidP="00101B66">
            <w:pPr>
              <w:jc w:val="center"/>
              <w:rPr>
                <w:rFonts w:ascii="Calibri" w:hAnsi="Calibri"/>
                <w:b/>
                <w:bCs/>
                <w:color w:val="FFFFFF"/>
                <w:sz w:val="28"/>
                <w:szCs w:val="28"/>
              </w:rPr>
            </w:pPr>
            <w:r w:rsidRPr="00101B66">
              <w:rPr>
                <w:rFonts w:ascii="Calibri" w:hAnsi="Calibri"/>
                <w:b/>
                <w:bCs/>
                <w:color w:val="FFFFFF"/>
                <w:sz w:val="28"/>
                <w:szCs w:val="28"/>
              </w:rPr>
              <w:t>Alternative Point Schedule</w:t>
            </w:r>
          </w:p>
          <w:p w14:paraId="49ACA3AF" w14:textId="77777777" w:rsidR="00A83499" w:rsidRPr="00101B66" w:rsidRDefault="00A83499" w:rsidP="00101B66">
            <w:pPr>
              <w:jc w:val="center"/>
              <w:rPr>
                <w:rFonts w:ascii="Calibri" w:hAnsi="Calibri"/>
                <w:b/>
                <w:bCs/>
                <w:color w:val="FFFFFF"/>
                <w:sz w:val="22"/>
                <w:szCs w:val="22"/>
              </w:rPr>
            </w:pPr>
            <w:r w:rsidRPr="00A83499">
              <w:rPr>
                <w:rFonts w:ascii="Calibri" w:hAnsi="Calibri"/>
                <w:b/>
                <w:bCs/>
                <w:color w:val="FFFFFF"/>
                <w:sz w:val="22"/>
                <w:szCs w:val="22"/>
              </w:rPr>
              <w:t>(Applies to HIOs that DO NOT include participation by hospitals or payers)</w:t>
            </w:r>
          </w:p>
        </w:tc>
      </w:tr>
      <w:tr w:rsidR="00101B66" w:rsidRPr="00101B66" w14:paraId="04232B31"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2DE9F9DC" w14:textId="77777777" w:rsidR="00101B66" w:rsidRPr="00101B66" w:rsidRDefault="00101B66" w:rsidP="00101B66">
            <w:pPr>
              <w:jc w:val="center"/>
              <w:rPr>
                <w:rFonts w:ascii="Calibri" w:hAnsi="Calibri"/>
                <w:b/>
                <w:bCs/>
                <w:color w:val="FFFFFF"/>
                <w:sz w:val="22"/>
                <w:szCs w:val="22"/>
              </w:rPr>
            </w:pPr>
            <w:r w:rsidRPr="00101B66">
              <w:rPr>
                <w:rFonts w:ascii="Calibri" w:hAnsi="Calibri"/>
                <w:b/>
                <w:bCs/>
                <w:color w:val="FFFFFF"/>
                <w:sz w:val="22"/>
                <w:szCs w:val="22"/>
              </w:rPr>
              <w:t>Facilities</w:t>
            </w:r>
          </w:p>
        </w:tc>
      </w:tr>
      <w:tr w:rsidR="00101B66" w:rsidRPr="00101B66" w14:paraId="3609DB37"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543CA81A" w14:textId="77777777" w:rsidR="00101B66" w:rsidRPr="00101B66" w:rsidRDefault="00101B66" w:rsidP="00101B66">
            <w:pPr>
              <w:jc w:val="center"/>
              <w:rPr>
                <w:rFonts w:ascii="Calibri" w:hAnsi="Calibri"/>
                <w:sz w:val="22"/>
                <w:szCs w:val="22"/>
              </w:rPr>
            </w:pPr>
            <w:r w:rsidRPr="00101B66">
              <w:rPr>
                <w:rFonts w:ascii="Calibri" w:hAnsi="Calibri"/>
                <w:sz w:val="22"/>
                <w:szCs w:val="22"/>
              </w:rPr>
              <w:t>Per location, regardless of affiliation</w:t>
            </w:r>
            <w:r w:rsidRPr="00101B66">
              <w:rPr>
                <w:rFonts w:ascii="Calibri" w:hAnsi="Calibri"/>
                <w:sz w:val="22"/>
                <w:szCs w:val="22"/>
                <w:vertAlign w:val="superscript"/>
              </w:rPr>
              <w:t>1</w:t>
            </w:r>
            <w:r w:rsidRPr="00101B66">
              <w:rPr>
                <w:rFonts w:ascii="Calibri" w:hAnsi="Calibri"/>
                <w:sz w:val="22"/>
                <w:szCs w:val="22"/>
              </w:rPr>
              <w:t>. Includes entities owned by and/or physically located within a hospital</w:t>
            </w:r>
          </w:p>
        </w:tc>
      </w:tr>
      <w:tr w:rsidR="00101B66" w:rsidRPr="00101B66" w14:paraId="22857DF7"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332BAACB"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Ambulatory Surgery Centers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2D43F11C"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15 points</w:t>
            </w:r>
          </w:p>
        </w:tc>
      </w:tr>
      <w:tr w:rsidR="00101B66" w:rsidRPr="00101B66" w14:paraId="7D2F7775"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763E2872"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Long-Term/Post-Acute Care Facilities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49A294B3"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2 points</w:t>
            </w:r>
          </w:p>
        </w:tc>
      </w:tr>
      <w:tr w:rsidR="00101B66" w:rsidRPr="00101B66" w14:paraId="69833185"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2106BAF1"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Mental Health/Substance Abuse Facilities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1A3E77B6"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5 points</w:t>
            </w:r>
          </w:p>
        </w:tc>
      </w:tr>
      <w:tr w:rsidR="00101B66" w:rsidRPr="00101B66" w14:paraId="58E32A41"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690FA231"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Outpatient Cancer Treatment Centers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17CE1AB4"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2 points</w:t>
            </w:r>
          </w:p>
        </w:tc>
      </w:tr>
      <w:tr w:rsidR="00101B66" w:rsidRPr="00101B66" w14:paraId="5103E4C1"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1DD8E8AA"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Physical Therapy/Occupational Therapy Practices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25628E90"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1 point</w:t>
            </w:r>
          </w:p>
        </w:tc>
      </w:tr>
      <w:tr w:rsidR="00101B66" w:rsidRPr="00101B66" w14:paraId="68BD8367"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1D6BB408"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Pediatric Rehabilitation Practices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47E64A4F"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1 point</w:t>
            </w:r>
          </w:p>
        </w:tc>
      </w:tr>
      <w:tr w:rsidR="00101B66" w:rsidRPr="00101B66" w14:paraId="21E39F57"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4966E3EE"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Urgent Care Centers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0B42EF51"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5 points</w:t>
            </w:r>
          </w:p>
        </w:tc>
      </w:tr>
      <w:tr w:rsidR="00101B66" w:rsidRPr="00101B66" w14:paraId="0F952BAA"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346486D3" w14:textId="77777777" w:rsidR="00101B66" w:rsidRPr="00101B66" w:rsidRDefault="00101B66" w:rsidP="00101B66">
            <w:pPr>
              <w:jc w:val="center"/>
              <w:rPr>
                <w:rFonts w:ascii="Calibri" w:hAnsi="Calibri"/>
                <w:b/>
                <w:bCs/>
                <w:color w:val="FFFFFF"/>
                <w:sz w:val="22"/>
                <w:szCs w:val="22"/>
              </w:rPr>
            </w:pPr>
            <w:r w:rsidRPr="00101B66">
              <w:rPr>
                <w:rFonts w:ascii="Calibri" w:hAnsi="Calibri"/>
                <w:b/>
                <w:bCs/>
                <w:color w:val="FFFFFF"/>
                <w:sz w:val="22"/>
                <w:szCs w:val="22"/>
              </w:rPr>
              <w:t>Practices</w:t>
            </w:r>
          </w:p>
        </w:tc>
      </w:tr>
      <w:tr w:rsidR="00101B66" w:rsidRPr="00101B66" w14:paraId="16575643"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8B8D885" w14:textId="77777777" w:rsidR="00101B66" w:rsidRPr="00101B66" w:rsidRDefault="00101B66" w:rsidP="00101B66">
            <w:pPr>
              <w:jc w:val="center"/>
              <w:rPr>
                <w:rFonts w:ascii="Calibri" w:hAnsi="Calibri"/>
                <w:sz w:val="22"/>
                <w:szCs w:val="22"/>
              </w:rPr>
            </w:pPr>
            <w:r w:rsidRPr="00101B66">
              <w:rPr>
                <w:rFonts w:ascii="Calibri" w:hAnsi="Calibri"/>
                <w:sz w:val="22"/>
                <w:szCs w:val="22"/>
              </w:rPr>
              <w:t>Per location, regardless of affiliation</w:t>
            </w:r>
            <w:r w:rsidRPr="00101B66">
              <w:rPr>
                <w:rFonts w:ascii="Calibri" w:hAnsi="Calibri"/>
                <w:sz w:val="22"/>
                <w:szCs w:val="22"/>
                <w:vertAlign w:val="superscript"/>
              </w:rPr>
              <w:t>1</w:t>
            </w:r>
            <w:r w:rsidRPr="00101B66">
              <w:rPr>
                <w:rFonts w:ascii="Calibri" w:hAnsi="Calibri"/>
                <w:sz w:val="22"/>
                <w:szCs w:val="22"/>
              </w:rPr>
              <w:t>.</w:t>
            </w:r>
          </w:p>
        </w:tc>
      </w:tr>
      <w:tr w:rsidR="00101B66" w:rsidRPr="00101B66" w14:paraId="7DE92832" w14:textId="77777777" w:rsidTr="00101B66">
        <w:trPr>
          <w:trHeight w:val="345"/>
        </w:trPr>
        <w:tc>
          <w:tcPr>
            <w:tcW w:w="7022" w:type="dxa"/>
            <w:tcBorders>
              <w:top w:val="single" w:sz="4" w:space="0" w:color="auto"/>
              <w:left w:val="single" w:sz="4" w:space="0" w:color="auto"/>
              <w:bottom w:val="single" w:sz="4" w:space="0" w:color="auto"/>
              <w:right w:val="single" w:sz="4" w:space="0" w:color="auto"/>
            </w:tcBorders>
            <w:vAlign w:val="center"/>
            <w:hideMark/>
          </w:tcPr>
          <w:p w14:paraId="2F950A0E"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Community Clinic/FQHC/Safety Net Providers</w:t>
            </w:r>
            <w:r w:rsidRPr="00101B66">
              <w:rPr>
                <w:rFonts w:ascii="Calibri" w:hAnsi="Calibri"/>
                <w:color w:val="000000"/>
                <w:sz w:val="22"/>
                <w:szCs w:val="22"/>
                <w:vertAlign w:val="superscript"/>
              </w:rPr>
              <w:t>3</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03AF7A08"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0 points</w:t>
            </w:r>
          </w:p>
        </w:tc>
      </w:tr>
      <w:tr w:rsidR="00101B66" w:rsidRPr="00101B66" w14:paraId="482FF988"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74B7F534"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 xml:space="preserve">Primary Care Physician </w:t>
            </w:r>
            <w:r w:rsidRPr="00101B66">
              <w:rPr>
                <w:rFonts w:ascii="Calibri" w:hAnsi="Calibri"/>
                <w:b/>
                <w:bCs/>
                <w:color w:val="000000"/>
                <w:sz w:val="22"/>
                <w:szCs w:val="22"/>
              </w:rPr>
              <w:t>Practices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5046D396"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1 point</w:t>
            </w:r>
          </w:p>
        </w:tc>
      </w:tr>
      <w:tr w:rsidR="00101B66" w:rsidRPr="00101B66" w14:paraId="0F5F0779"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7384C0A7"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 xml:space="preserve">Specialist Physician </w:t>
            </w:r>
            <w:r w:rsidRPr="00101B66">
              <w:rPr>
                <w:rFonts w:ascii="Calibri" w:hAnsi="Calibri"/>
                <w:b/>
                <w:bCs/>
                <w:color w:val="000000"/>
                <w:sz w:val="22"/>
                <w:szCs w:val="22"/>
              </w:rPr>
              <w:t>Practices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46DFB63C"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2 points</w:t>
            </w:r>
          </w:p>
        </w:tc>
      </w:tr>
      <w:tr w:rsidR="00101B66" w:rsidRPr="00101B66" w14:paraId="7D3AF00A"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4BAE611B"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 xml:space="preserve">Multi-specialty </w:t>
            </w:r>
            <w:r w:rsidRPr="00101B66">
              <w:rPr>
                <w:rFonts w:ascii="Calibri" w:hAnsi="Calibri"/>
                <w:b/>
                <w:bCs/>
                <w:color w:val="000000"/>
                <w:sz w:val="22"/>
                <w:szCs w:val="22"/>
              </w:rPr>
              <w:t>Practices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7BD032D4"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3 points</w:t>
            </w:r>
          </w:p>
        </w:tc>
      </w:tr>
      <w:tr w:rsidR="00101B66" w:rsidRPr="00101B66" w14:paraId="7B8B0474"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5917A7BE" w14:textId="77777777" w:rsidR="00101B66" w:rsidRPr="00101B66" w:rsidRDefault="00101B66" w:rsidP="00101B66">
            <w:pPr>
              <w:jc w:val="center"/>
              <w:rPr>
                <w:rFonts w:ascii="Calibri" w:hAnsi="Calibri"/>
                <w:b/>
                <w:bCs/>
                <w:color w:val="FFFFFF"/>
                <w:sz w:val="22"/>
                <w:szCs w:val="22"/>
              </w:rPr>
            </w:pPr>
            <w:r w:rsidRPr="00101B66">
              <w:rPr>
                <w:rFonts w:ascii="Calibri" w:hAnsi="Calibri"/>
                <w:b/>
                <w:bCs/>
                <w:color w:val="FFFFFF"/>
                <w:sz w:val="22"/>
                <w:szCs w:val="22"/>
                <w:u w:val="single"/>
              </w:rPr>
              <w:t>Independent</w:t>
            </w:r>
            <w:r w:rsidRPr="00101B66">
              <w:rPr>
                <w:rFonts w:ascii="Calibri" w:hAnsi="Calibri"/>
                <w:b/>
                <w:bCs/>
                <w:color w:val="FFFFFF"/>
                <w:sz w:val="22"/>
                <w:szCs w:val="22"/>
              </w:rPr>
              <w:t xml:space="preserve"> Diagnostic Service or Treatment Providers</w:t>
            </w:r>
          </w:p>
        </w:tc>
      </w:tr>
      <w:tr w:rsidR="00101B66" w:rsidRPr="00101B66" w14:paraId="14796EED"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1F36CD94" w14:textId="77777777" w:rsidR="00101B66" w:rsidRPr="00101B66" w:rsidRDefault="00101B66" w:rsidP="00101B66">
            <w:pPr>
              <w:jc w:val="center"/>
              <w:rPr>
                <w:rFonts w:ascii="Calibri" w:hAnsi="Calibri"/>
                <w:sz w:val="22"/>
                <w:szCs w:val="22"/>
              </w:rPr>
            </w:pPr>
            <w:r w:rsidRPr="00101B66">
              <w:rPr>
                <w:rFonts w:ascii="Calibri" w:hAnsi="Calibri"/>
                <w:sz w:val="22"/>
                <w:szCs w:val="22"/>
              </w:rPr>
              <w:t>Per location, regardless of affiliation</w:t>
            </w:r>
            <w:r w:rsidRPr="00101B66">
              <w:rPr>
                <w:rFonts w:ascii="Calibri" w:hAnsi="Calibri"/>
                <w:sz w:val="22"/>
                <w:szCs w:val="22"/>
                <w:vertAlign w:val="superscript"/>
              </w:rPr>
              <w:t>1</w:t>
            </w:r>
            <w:r w:rsidRPr="00101B66">
              <w:rPr>
                <w:rFonts w:ascii="Calibri" w:hAnsi="Calibri"/>
                <w:sz w:val="22"/>
                <w:szCs w:val="22"/>
              </w:rPr>
              <w:t xml:space="preserve">. </w:t>
            </w:r>
            <w:r w:rsidRPr="00101B66">
              <w:rPr>
                <w:rFonts w:ascii="Calibri" w:hAnsi="Calibri"/>
                <w:sz w:val="22"/>
                <w:szCs w:val="22"/>
                <w:u w:val="single"/>
              </w:rPr>
              <w:t>Does not</w:t>
            </w:r>
            <w:r w:rsidRPr="00101B66">
              <w:rPr>
                <w:rFonts w:ascii="Calibri" w:hAnsi="Calibri"/>
                <w:sz w:val="22"/>
                <w:szCs w:val="22"/>
              </w:rPr>
              <w:t xml:space="preserve"> count entities owned by an organization counted above.</w:t>
            </w:r>
          </w:p>
        </w:tc>
      </w:tr>
      <w:tr w:rsidR="00101B66" w:rsidRPr="00101B66" w14:paraId="626CE6C6"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11A12A81"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Independent Imaging Centers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6EE85760"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2 points</w:t>
            </w:r>
          </w:p>
        </w:tc>
      </w:tr>
      <w:tr w:rsidR="00101B66" w:rsidRPr="00101B66" w14:paraId="419462EE"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06DE1F29"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Independent Reference Laboratories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125E2A95"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0 points</w:t>
            </w:r>
          </w:p>
        </w:tc>
      </w:tr>
      <w:tr w:rsidR="00101B66" w:rsidRPr="00101B66" w14:paraId="5836959E"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74A42544" w14:textId="77777777" w:rsidR="00101B66" w:rsidRPr="00101B66" w:rsidRDefault="00101B66" w:rsidP="00101B66">
            <w:pPr>
              <w:jc w:val="center"/>
              <w:rPr>
                <w:rFonts w:ascii="Calibri" w:hAnsi="Calibri"/>
                <w:b/>
                <w:bCs/>
                <w:color w:val="FFFFFF"/>
                <w:sz w:val="22"/>
                <w:szCs w:val="22"/>
              </w:rPr>
            </w:pPr>
            <w:r w:rsidRPr="00101B66">
              <w:rPr>
                <w:rFonts w:ascii="Calibri" w:hAnsi="Calibri"/>
                <w:b/>
                <w:bCs/>
                <w:color w:val="FFFFFF"/>
                <w:sz w:val="22"/>
                <w:szCs w:val="22"/>
              </w:rPr>
              <w:t>Other Providers</w:t>
            </w:r>
          </w:p>
        </w:tc>
      </w:tr>
      <w:tr w:rsidR="00101B66" w:rsidRPr="00101B66" w14:paraId="1D40FDD6" w14:textId="77777777" w:rsidTr="00101B66">
        <w:trPr>
          <w:trHeight w:val="300"/>
        </w:trPr>
        <w:tc>
          <w:tcPr>
            <w:tcW w:w="8680"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4116A83D" w14:textId="77777777" w:rsidR="00101B66" w:rsidRPr="00101B66" w:rsidRDefault="00101B66" w:rsidP="00101B66">
            <w:pPr>
              <w:jc w:val="center"/>
              <w:rPr>
                <w:rFonts w:ascii="Calibri" w:hAnsi="Calibri"/>
                <w:sz w:val="22"/>
                <w:szCs w:val="22"/>
              </w:rPr>
            </w:pPr>
            <w:r w:rsidRPr="00101B66">
              <w:rPr>
                <w:rFonts w:ascii="Calibri" w:hAnsi="Calibri"/>
                <w:sz w:val="22"/>
                <w:szCs w:val="22"/>
              </w:rPr>
              <w:t>Per organization</w:t>
            </w:r>
          </w:p>
        </w:tc>
      </w:tr>
      <w:tr w:rsidR="00101B66" w:rsidRPr="00101B66" w14:paraId="3FA43380"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6156ADC4"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Ambulance/EMS services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55552CCA"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0 points</w:t>
            </w:r>
          </w:p>
        </w:tc>
      </w:tr>
      <w:tr w:rsidR="00101B66" w:rsidRPr="00101B66" w14:paraId="1236CD6A"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1958817B"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Independent Pharmacies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736C0633"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0 points</w:t>
            </w:r>
          </w:p>
        </w:tc>
      </w:tr>
      <w:tr w:rsidR="00101B66" w:rsidRPr="00101B66" w14:paraId="0FD832DC" w14:textId="77777777" w:rsidTr="00101B66">
        <w:trPr>
          <w:trHeight w:val="300"/>
        </w:trPr>
        <w:tc>
          <w:tcPr>
            <w:tcW w:w="7022" w:type="dxa"/>
            <w:tcBorders>
              <w:top w:val="single" w:sz="4" w:space="0" w:color="auto"/>
              <w:left w:val="single" w:sz="4" w:space="0" w:color="auto"/>
              <w:bottom w:val="single" w:sz="4" w:space="0" w:color="auto"/>
              <w:right w:val="single" w:sz="4" w:space="0" w:color="auto"/>
            </w:tcBorders>
            <w:vAlign w:val="center"/>
            <w:hideMark/>
          </w:tcPr>
          <w:p w14:paraId="5B730AC9" w14:textId="77777777" w:rsidR="00101B66" w:rsidRPr="00101B66" w:rsidRDefault="00101B66" w:rsidP="00101B66">
            <w:pPr>
              <w:rPr>
                <w:rFonts w:ascii="Calibri" w:hAnsi="Calibri"/>
                <w:color w:val="000000"/>
                <w:sz w:val="22"/>
                <w:szCs w:val="22"/>
              </w:rPr>
            </w:pPr>
            <w:r w:rsidRPr="00101B66">
              <w:rPr>
                <w:rFonts w:ascii="Calibri" w:hAnsi="Calibri"/>
                <w:color w:val="000000"/>
                <w:sz w:val="22"/>
                <w:szCs w:val="22"/>
              </w:rPr>
              <w:t>Home Health Agencies</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6771B275" w14:textId="77777777" w:rsidR="00101B66" w:rsidRPr="00101B66" w:rsidRDefault="00101B66" w:rsidP="00101B66">
            <w:pPr>
              <w:jc w:val="center"/>
              <w:rPr>
                <w:rFonts w:ascii="Calibri" w:hAnsi="Calibri"/>
                <w:color w:val="000000"/>
                <w:sz w:val="22"/>
                <w:szCs w:val="22"/>
              </w:rPr>
            </w:pPr>
            <w:r w:rsidRPr="00101B66">
              <w:rPr>
                <w:rFonts w:ascii="Calibri" w:hAnsi="Calibri"/>
                <w:color w:val="000000"/>
                <w:sz w:val="22"/>
                <w:szCs w:val="22"/>
              </w:rPr>
              <w:t>2 points</w:t>
            </w:r>
          </w:p>
        </w:tc>
      </w:tr>
    </w:tbl>
    <w:p w14:paraId="7423DB2A" w14:textId="77777777" w:rsidR="00101B66" w:rsidRDefault="00101B66" w:rsidP="00476878">
      <w:pPr>
        <w:spacing w:after="120"/>
        <w:rPr>
          <w:rFonts w:asciiTheme="minorHAnsi" w:hAnsiTheme="minorHAnsi"/>
          <w:noProof/>
        </w:rPr>
      </w:pPr>
    </w:p>
    <w:p w14:paraId="1E9BD1C5" w14:textId="77777777" w:rsidR="00476878" w:rsidRPr="00343B99" w:rsidRDefault="00476878" w:rsidP="00476878">
      <w:pPr>
        <w:spacing w:after="120"/>
        <w:rPr>
          <w:rFonts w:asciiTheme="minorHAnsi" w:hAnsiTheme="minorHAnsi"/>
        </w:rPr>
      </w:pPr>
      <w:r w:rsidRPr="00343B99">
        <w:rPr>
          <w:rFonts w:asciiTheme="minorHAnsi" w:hAnsiTheme="minorHAnsi"/>
        </w:rPr>
        <w:lastRenderedPageBreak/>
        <w:t>Point Schedule Footnotes:</w:t>
      </w:r>
    </w:p>
    <w:p w14:paraId="5ACB419D" w14:textId="77777777" w:rsidR="00476878" w:rsidRPr="00343B99" w:rsidRDefault="00476878" w:rsidP="00476878">
      <w:pPr>
        <w:spacing w:after="120"/>
        <w:rPr>
          <w:rFonts w:asciiTheme="minorHAnsi" w:hAnsiTheme="minorHAnsi"/>
          <w:i/>
          <w:sz w:val="20"/>
          <w:szCs w:val="20"/>
        </w:rPr>
      </w:pPr>
      <w:r w:rsidRPr="00343B99">
        <w:rPr>
          <w:rFonts w:asciiTheme="minorHAnsi" w:hAnsiTheme="minorHAnsi"/>
          <w:i/>
          <w:sz w:val="20"/>
          <w:szCs w:val="20"/>
        </w:rPr>
        <w:t xml:space="preserve">1 – “Per location, regardless of affiliation” means HIOs must report one instance for each physical address, even if those multiple locations share common corporate ownership. Only entities with access to information retrieved via </w:t>
      </w:r>
      <w:proofErr w:type="spellStart"/>
      <w:r w:rsidRPr="00343B99">
        <w:rPr>
          <w:rFonts w:asciiTheme="minorHAnsi" w:hAnsiTheme="minorHAnsi"/>
          <w:i/>
          <w:sz w:val="20"/>
          <w:szCs w:val="20"/>
        </w:rPr>
        <w:t>eHIE</w:t>
      </w:r>
      <w:proofErr w:type="spellEnd"/>
      <w:r w:rsidRPr="00343B99">
        <w:rPr>
          <w:rFonts w:asciiTheme="minorHAnsi" w:hAnsiTheme="minorHAnsi"/>
          <w:i/>
          <w:sz w:val="20"/>
          <w:szCs w:val="20"/>
        </w:rPr>
        <w:t xml:space="preserve"> are counted, but “access” includes information that has been downloaded into a shared EHR, even if the entity itself does not perform these downloads. For co-located entities, count one instance for each individually licensed entity. Include only entities physically operating in Pennsylvania. Exclude entities physically operating in other states, regardless of shared corporate ownership, and regardless of whether these entities have access to information retrieved via </w:t>
      </w:r>
      <w:proofErr w:type="spellStart"/>
      <w:r w:rsidRPr="00343B99">
        <w:rPr>
          <w:rFonts w:asciiTheme="minorHAnsi" w:hAnsiTheme="minorHAnsi"/>
          <w:i/>
          <w:sz w:val="20"/>
          <w:szCs w:val="20"/>
        </w:rPr>
        <w:t>eHIE</w:t>
      </w:r>
      <w:proofErr w:type="spellEnd"/>
      <w:r w:rsidRPr="00343B99">
        <w:rPr>
          <w:rFonts w:asciiTheme="minorHAnsi" w:hAnsiTheme="minorHAnsi"/>
          <w:i/>
          <w:sz w:val="20"/>
          <w:szCs w:val="20"/>
        </w:rPr>
        <w:t xml:space="preserve">. HIOs requiring further clarification, or requesting exceptions, may submit such matters to the </w:t>
      </w:r>
      <w:r w:rsidR="00915CA0">
        <w:rPr>
          <w:rFonts w:asciiTheme="minorHAnsi" w:hAnsiTheme="minorHAnsi"/>
          <w:i/>
          <w:sz w:val="20"/>
          <w:szCs w:val="20"/>
        </w:rPr>
        <w:t>Partnership</w:t>
      </w:r>
      <w:r w:rsidRPr="00343B99">
        <w:rPr>
          <w:rFonts w:asciiTheme="minorHAnsi" w:hAnsiTheme="minorHAnsi"/>
          <w:i/>
          <w:sz w:val="20"/>
          <w:szCs w:val="20"/>
        </w:rPr>
        <w:t xml:space="preserve"> Board’s Finance Committee via </w:t>
      </w:r>
      <w:r w:rsidR="00915CA0">
        <w:rPr>
          <w:rFonts w:asciiTheme="minorHAnsi" w:hAnsiTheme="minorHAnsi"/>
          <w:i/>
          <w:sz w:val="20"/>
          <w:szCs w:val="20"/>
        </w:rPr>
        <w:t>Partnership</w:t>
      </w:r>
      <w:r w:rsidRPr="00343B99">
        <w:rPr>
          <w:rFonts w:asciiTheme="minorHAnsi" w:hAnsiTheme="minorHAnsi"/>
          <w:i/>
          <w:sz w:val="20"/>
          <w:szCs w:val="20"/>
        </w:rPr>
        <w:t xml:space="preserve"> staff.   </w:t>
      </w:r>
    </w:p>
    <w:p w14:paraId="42A11614" w14:textId="77777777" w:rsidR="00476878" w:rsidRPr="00343B99" w:rsidRDefault="00476878" w:rsidP="00476878">
      <w:pPr>
        <w:spacing w:after="120"/>
        <w:rPr>
          <w:rFonts w:asciiTheme="minorHAnsi" w:hAnsiTheme="minorHAnsi"/>
          <w:i/>
          <w:sz w:val="20"/>
          <w:szCs w:val="20"/>
        </w:rPr>
      </w:pPr>
      <w:r w:rsidRPr="00343B99">
        <w:rPr>
          <w:rFonts w:asciiTheme="minorHAnsi" w:hAnsiTheme="minorHAnsi"/>
          <w:i/>
          <w:sz w:val="20"/>
          <w:szCs w:val="20"/>
        </w:rPr>
        <w:t xml:space="preserve">2 – “Critical Access Hospital” includes only those hospitals receiving this official designation from the Centers for Medicare &amp; Medicaid Services or from the Pennsylvania Department of Human Services. More information is available at: </w:t>
      </w:r>
      <w:hyperlink r:id="rId10" w:history="1">
        <w:r w:rsidRPr="00343B99">
          <w:rPr>
            <w:rStyle w:val="Hyperlink"/>
            <w:rFonts w:asciiTheme="minorHAnsi" w:hAnsiTheme="minorHAnsi"/>
            <w:i/>
            <w:sz w:val="20"/>
            <w:szCs w:val="20"/>
          </w:rPr>
          <w:t>http://www.hrsa.gov/healthit/toolbox/RuralHealthITtoolbox/Introduction/critical.html</w:t>
        </w:r>
      </w:hyperlink>
    </w:p>
    <w:p w14:paraId="38D8C246" w14:textId="77777777" w:rsidR="00476878" w:rsidRPr="00343B99" w:rsidRDefault="00476878" w:rsidP="00476878">
      <w:pPr>
        <w:spacing w:after="120"/>
        <w:rPr>
          <w:rFonts w:asciiTheme="minorHAnsi" w:hAnsiTheme="minorHAnsi"/>
          <w:i/>
          <w:sz w:val="20"/>
          <w:szCs w:val="20"/>
        </w:rPr>
      </w:pPr>
      <w:r w:rsidRPr="00343B99">
        <w:rPr>
          <w:rFonts w:asciiTheme="minorHAnsi" w:hAnsiTheme="minorHAnsi"/>
          <w:i/>
          <w:sz w:val="20"/>
          <w:szCs w:val="20"/>
        </w:rPr>
        <w:t xml:space="preserve">3 – This category includes practices that have received official FQHC designation from the Bureau of Primary Health Care or the Centers for Medicare and Medicaid Services of the US Department of Health and Human Services. It also includes those organizations meeting the “Safety Net Provider” definition as defined by the </w:t>
      </w:r>
      <w:r w:rsidR="00915CA0">
        <w:rPr>
          <w:rFonts w:asciiTheme="minorHAnsi" w:hAnsiTheme="minorHAnsi"/>
          <w:i/>
          <w:sz w:val="20"/>
          <w:szCs w:val="20"/>
        </w:rPr>
        <w:t>Partnership</w:t>
      </w:r>
      <w:r w:rsidRPr="00343B99">
        <w:rPr>
          <w:rFonts w:asciiTheme="minorHAnsi" w:hAnsiTheme="minorHAnsi"/>
          <w:i/>
          <w:sz w:val="20"/>
          <w:szCs w:val="20"/>
        </w:rPr>
        <w:t xml:space="preserve">’s Safety Net Provider Committee and adopted by the </w:t>
      </w:r>
      <w:r w:rsidR="00915CA0">
        <w:rPr>
          <w:rFonts w:asciiTheme="minorHAnsi" w:hAnsiTheme="minorHAnsi"/>
          <w:i/>
          <w:sz w:val="20"/>
          <w:szCs w:val="20"/>
        </w:rPr>
        <w:t>Partnership</w:t>
      </w:r>
      <w:r w:rsidRPr="00343B99">
        <w:rPr>
          <w:rFonts w:asciiTheme="minorHAnsi" w:hAnsiTheme="minorHAnsi"/>
          <w:i/>
          <w:sz w:val="20"/>
          <w:szCs w:val="20"/>
        </w:rPr>
        <w:t>’s Board (expected ~April 2015).</w:t>
      </w:r>
    </w:p>
    <w:p w14:paraId="6EA1DC6E" w14:textId="1109A49F" w:rsidR="00476878" w:rsidRPr="00343B99" w:rsidRDefault="00476878" w:rsidP="00476878">
      <w:pPr>
        <w:spacing w:after="120"/>
        <w:rPr>
          <w:rFonts w:asciiTheme="minorHAnsi" w:hAnsiTheme="minorHAnsi"/>
        </w:rPr>
      </w:pPr>
      <w:r w:rsidRPr="00343B99">
        <w:rPr>
          <w:rFonts w:asciiTheme="minorHAnsi" w:hAnsiTheme="minorHAnsi"/>
        </w:rPr>
        <w:t xml:space="preserve">Note that additional categories of participant (i.e. other facilities and practices) and other requirements may be included in reporting required or requested from certified HIOs to the </w:t>
      </w:r>
      <w:r w:rsidR="00915CA0">
        <w:rPr>
          <w:rFonts w:asciiTheme="minorHAnsi" w:hAnsiTheme="minorHAnsi"/>
        </w:rPr>
        <w:t>Partnership</w:t>
      </w:r>
      <w:r w:rsidRPr="00343B99">
        <w:rPr>
          <w:rFonts w:asciiTheme="minorHAnsi" w:hAnsiTheme="minorHAnsi"/>
        </w:rPr>
        <w:t xml:space="preserve">. These reporting requirements are included in certification program documents and related policy </w:t>
      </w:r>
      <w:r w:rsidR="000749DE" w:rsidRPr="00343B99">
        <w:rPr>
          <w:rFonts w:asciiTheme="minorHAnsi" w:hAnsiTheme="minorHAnsi"/>
        </w:rPr>
        <w:t>documents and</w:t>
      </w:r>
      <w:r w:rsidRPr="00343B99">
        <w:rPr>
          <w:rFonts w:asciiTheme="minorHAnsi" w:hAnsiTheme="minorHAnsi"/>
        </w:rPr>
        <w:t xml:space="preserve"> are associated with grant programs offered by the </w:t>
      </w:r>
      <w:r w:rsidR="00915CA0">
        <w:rPr>
          <w:rFonts w:asciiTheme="minorHAnsi" w:hAnsiTheme="minorHAnsi"/>
        </w:rPr>
        <w:t>Partnership</w:t>
      </w:r>
      <w:r w:rsidRPr="00343B99">
        <w:rPr>
          <w:rFonts w:asciiTheme="minorHAnsi" w:hAnsiTheme="minorHAnsi"/>
        </w:rPr>
        <w:t>. Reporting requirements related to assessment of fees should not be interpreted as obviating any of these additional reporting requirements.</w:t>
      </w:r>
    </w:p>
    <w:p w14:paraId="52926278" w14:textId="77777777" w:rsidR="00476878" w:rsidRDefault="00476878" w:rsidP="00476878">
      <w:pPr>
        <w:spacing w:after="120"/>
        <w:rPr>
          <w:rFonts w:asciiTheme="minorHAnsi" w:hAnsiTheme="minorHAnsi"/>
        </w:rPr>
      </w:pPr>
      <w:r w:rsidRPr="00343B99">
        <w:rPr>
          <w:rFonts w:asciiTheme="minorHAnsi" w:hAnsiTheme="minorHAnsi"/>
        </w:rPr>
        <w:t>HIOs are assigned a size category based on a total of points across their participants according to the following schedule:</w:t>
      </w:r>
    </w:p>
    <w:tbl>
      <w:tblPr>
        <w:tblW w:w="4060" w:type="dxa"/>
        <w:tblInd w:w="2640" w:type="dxa"/>
        <w:tblCellMar>
          <w:top w:w="15" w:type="dxa"/>
          <w:bottom w:w="15" w:type="dxa"/>
        </w:tblCellMar>
        <w:tblLook w:val="04A0" w:firstRow="1" w:lastRow="0" w:firstColumn="1" w:lastColumn="0" w:noHBand="0" w:noVBand="1"/>
      </w:tblPr>
      <w:tblGrid>
        <w:gridCol w:w="2477"/>
        <w:gridCol w:w="1583"/>
      </w:tblGrid>
      <w:tr w:rsidR="00A83499" w:rsidRPr="00A83499" w14:paraId="0E20C809" w14:textId="77777777" w:rsidTr="00A83499">
        <w:trPr>
          <w:trHeight w:val="375"/>
        </w:trPr>
        <w:tc>
          <w:tcPr>
            <w:tcW w:w="4060" w:type="dxa"/>
            <w:gridSpan w:val="2"/>
            <w:tcBorders>
              <w:top w:val="single" w:sz="4" w:space="0" w:color="auto"/>
              <w:left w:val="single" w:sz="4" w:space="0" w:color="auto"/>
              <w:bottom w:val="single" w:sz="4" w:space="0" w:color="auto"/>
              <w:right w:val="single" w:sz="4" w:space="0" w:color="auto"/>
            </w:tcBorders>
            <w:shd w:val="clear" w:color="000000" w:fill="4F6228"/>
            <w:vAlign w:val="center"/>
            <w:hideMark/>
          </w:tcPr>
          <w:p w14:paraId="54D86ED5" w14:textId="77777777" w:rsidR="00A83499" w:rsidRPr="00A83499" w:rsidRDefault="00A83499" w:rsidP="00A83499">
            <w:pPr>
              <w:rPr>
                <w:rFonts w:ascii="Calibri" w:hAnsi="Calibri"/>
                <w:b/>
                <w:bCs/>
                <w:color w:val="FFFFFF"/>
                <w:sz w:val="28"/>
                <w:szCs w:val="28"/>
              </w:rPr>
            </w:pPr>
            <w:r w:rsidRPr="00A83499">
              <w:rPr>
                <w:rFonts w:ascii="Calibri" w:hAnsi="Calibri"/>
                <w:b/>
                <w:bCs/>
                <w:color w:val="FFFFFF"/>
                <w:sz w:val="28"/>
                <w:szCs w:val="28"/>
              </w:rPr>
              <w:t>Size Categories</w:t>
            </w:r>
          </w:p>
        </w:tc>
      </w:tr>
      <w:tr w:rsidR="00A83499" w:rsidRPr="00A83499" w14:paraId="5236365E" w14:textId="77777777" w:rsidTr="00A83499">
        <w:trPr>
          <w:trHeight w:val="300"/>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1AA6AEE7"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Points</w:t>
            </w:r>
          </w:p>
        </w:tc>
        <w:tc>
          <w:tcPr>
            <w:tcW w:w="1583" w:type="dxa"/>
            <w:tcBorders>
              <w:top w:val="single" w:sz="4" w:space="0" w:color="auto"/>
              <w:left w:val="single" w:sz="4" w:space="0" w:color="auto"/>
              <w:bottom w:val="single" w:sz="4" w:space="0" w:color="auto"/>
              <w:right w:val="single" w:sz="4" w:space="0" w:color="auto"/>
            </w:tcBorders>
            <w:noWrap/>
            <w:vAlign w:val="center"/>
            <w:hideMark/>
          </w:tcPr>
          <w:p w14:paraId="07909F26"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Category</w:t>
            </w:r>
          </w:p>
        </w:tc>
      </w:tr>
      <w:tr w:rsidR="00A83499" w:rsidRPr="00A83499" w14:paraId="40172B20" w14:textId="77777777" w:rsidTr="00A83499">
        <w:trPr>
          <w:trHeight w:val="300"/>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04D08B85"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Less than 200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14:paraId="4F8518D9"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Small</w:t>
            </w:r>
          </w:p>
        </w:tc>
      </w:tr>
      <w:tr w:rsidR="00A83499" w:rsidRPr="00A83499" w14:paraId="647C9450" w14:textId="77777777" w:rsidTr="00A83499">
        <w:trPr>
          <w:trHeight w:val="300"/>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53DE52D9"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200 to 999</w:t>
            </w:r>
          </w:p>
        </w:tc>
        <w:tc>
          <w:tcPr>
            <w:tcW w:w="1583" w:type="dxa"/>
            <w:tcBorders>
              <w:top w:val="single" w:sz="4" w:space="0" w:color="auto"/>
              <w:left w:val="single" w:sz="4" w:space="0" w:color="auto"/>
              <w:bottom w:val="single" w:sz="4" w:space="0" w:color="auto"/>
              <w:right w:val="single" w:sz="4" w:space="0" w:color="auto"/>
            </w:tcBorders>
            <w:noWrap/>
            <w:vAlign w:val="center"/>
            <w:hideMark/>
          </w:tcPr>
          <w:p w14:paraId="131D4213"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Medium</w:t>
            </w:r>
          </w:p>
        </w:tc>
      </w:tr>
      <w:tr w:rsidR="00A83499" w:rsidRPr="00A83499" w14:paraId="48FCE936" w14:textId="77777777" w:rsidTr="00A83499">
        <w:trPr>
          <w:trHeight w:val="300"/>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1A52B0DC"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1,000 to 2,500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14:paraId="71579BB2"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Large</w:t>
            </w:r>
          </w:p>
        </w:tc>
      </w:tr>
      <w:tr w:rsidR="00A83499" w:rsidRPr="00A83499" w14:paraId="0F30683B" w14:textId="77777777" w:rsidTr="00A83499">
        <w:trPr>
          <w:trHeight w:val="300"/>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298B85AD"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More than 2,500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14:paraId="6893F525" w14:textId="77777777" w:rsidR="00A83499" w:rsidRPr="00A83499" w:rsidRDefault="00A83499" w:rsidP="00A83499">
            <w:pPr>
              <w:rPr>
                <w:rFonts w:ascii="Calibri" w:hAnsi="Calibri"/>
                <w:color w:val="000000"/>
                <w:sz w:val="22"/>
                <w:szCs w:val="22"/>
              </w:rPr>
            </w:pPr>
            <w:r w:rsidRPr="00A83499">
              <w:rPr>
                <w:rFonts w:ascii="Calibri" w:hAnsi="Calibri"/>
                <w:color w:val="000000"/>
                <w:sz w:val="22"/>
                <w:szCs w:val="22"/>
              </w:rPr>
              <w:t>Very Large</w:t>
            </w:r>
          </w:p>
        </w:tc>
      </w:tr>
    </w:tbl>
    <w:p w14:paraId="4F1B6677" w14:textId="77777777" w:rsidR="00A83499" w:rsidRDefault="00A83499" w:rsidP="00476878">
      <w:pPr>
        <w:spacing w:after="120"/>
        <w:rPr>
          <w:rFonts w:asciiTheme="minorHAnsi" w:hAnsiTheme="minorHAnsi"/>
        </w:rPr>
      </w:pPr>
    </w:p>
    <w:p w14:paraId="6936C48F" w14:textId="77777777" w:rsidR="00476878" w:rsidRPr="00343B99" w:rsidRDefault="00476878" w:rsidP="00476878">
      <w:pPr>
        <w:spacing w:after="120"/>
        <w:rPr>
          <w:rFonts w:asciiTheme="minorHAnsi" w:hAnsiTheme="minorHAnsi"/>
        </w:rPr>
      </w:pPr>
      <w:r w:rsidRPr="00343B99">
        <w:rPr>
          <w:rFonts w:asciiTheme="minorHAnsi" w:hAnsiTheme="minorHAnsi"/>
        </w:rPr>
        <w:t xml:space="preserve">Size categories will be reviewed and approved by the Board on an annual basis, along with the fee schedule. HIOs will provide the </w:t>
      </w:r>
      <w:r w:rsidR="00915CA0">
        <w:rPr>
          <w:rFonts w:asciiTheme="minorHAnsi" w:hAnsiTheme="minorHAnsi"/>
        </w:rPr>
        <w:t>Partnership</w:t>
      </w:r>
      <w:r w:rsidRPr="00343B99">
        <w:rPr>
          <w:rFonts w:asciiTheme="minorHAnsi" w:hAnsiTheme="minorHAnsi"/>
        </w:rPr>
        <w:t xml:space="preserve"> with a quarterly report structured as above that provides their actual participation at the time of the report. The </w:t>
      </w:r>
      <w:r w:rsidR="00915CA0">
        <w:rPr>
          <w:rFonts w:asciiTheme="minorHAnsi" w:hAnsiTheme="minorHAnsi"/>
        </w:rPr>
        <w:t>Partnership</w:t>
      </w:r>
      <w:r w:rsidRPr="00343B99">
        <w:rPr>
          <w:rFonts w:asciiTheme="minorHAnsi" w:hAnsiTheme="minorHAnsi"/>
        </w:rPr>
        <w:t xml:space="preserve"> will use this report to calculate each HIO’s size and produce an invoice to the HIO accordingly. </w:t>
      </w:r>
    </w:p>
    <w:p w14:paraId="751FA047" w14:textId="77777777" w:rsidR="00476878" w:rsidRPr="00343B99" w:rsidRDefault="00476878" w:rsidP="00476878">
      <w:pPr>
        <w:spacing w:after="120"/>
        <w:rPr>
          <w:rFonts w:asciiTheme="minorHAnsi" w:hAnsiTheme="minorHAnsi"/>
          <w:b/>
          <w:u w:val="single"/>
        </w:rPr>
      </w:pPr>
      <w:r w:rsidRPr="00343B99">
        <w:rPr>
          <w:rFonts w:asciiTheme="minorHAnsi" w:hAnsiTheme="minorHAnsi"/>
          <w:b/>
          <w:u w:val="single"/>
        </w:rPr>
        <w:t>Auditing</w:t>
      </w:r>
    </w:p>
    <w:p w14:paraId="5954A712" w14:textId="77777777" w:rsidR="00476878" w:rsidRPr="00343B99" w:rsidRDefault="00476878" w:rsidP="00476878">
      <w:pPr>
        <w:spacing w:after="120"/>
        <w:rPr>
          <w:rFonts w:asciiTheme="minorHAnsi" w:hAnsiTheme="minorHAnsi"/>
        </w:rPr>
      </w:pPr>
      <w:r w:rsidRPr="00343B99">
        <w:rPr>
          <w:rFonts w:asciiTheme="minorHAnsi" w:hAnsiTheme="minorHAnsi"/>
        </w:rPr>
        <w:t xml:space="preserve">The </w:t>
      </w:r>
      <w:r w:rsidR="00915CA0">
        <w:rPr>
          <w:rFonts w:asciiTheme="minorHAnsi" w:hAnsiTheme="minorHAnsi"/>
        </w:rPr>
        <w:t>Partnership</w:t>
      </w:r>
      <w:r w:rsidRPr="00343B99">
        <w:rPr>
          <w:rFonts w:asciiTheme="minorHAnsi" w:hAnsiTheme="minorHAnsi"/>
        </w:rPr>
        <w:t xml:space="preserve"> reserves the right to audit the reports on participation provided by participating HIOs. This may include a requirement for the HIOs to provide system audit logs to the </w:t>
      </w:r>
      <w:r w:rsidR="00915CA0">
        <w:rPr>
          <w:rFonts w:asciiTheme="minorHAnsi" w:hAnsiTheme="minorHAnsi"/>
        </w:rPr>
        <w:t>Partnership</w:t>
      </w:r>
      <w:r w:rsidRPr="00343B99">
        <w:rPr>
          <w:rFonts w:asciiTheme="minorHAnsi" w:hAnsiTheme="minorHAnsi"/>
        </w:rPr>
        <w:t xml:space="preserve"> along with any supporting information required to validate that HIOs are accurately reporting participation rates to the </w:t>
      </w:r>
      <w:r w:rsidR="00915CA0">
        <w:rPr>
          <w:rFonts w:asciiTheme="minorHAnsi" w:hAnsiTheme="minorHAnsi"/>
        </w:rPr>
        <w:t>Partnership</w:t>
      </w:r>
      <w:r w:rsidRPr="00343B99">
        <w:rPr>
          <w:rFonts w:asciiTheme="minorHAnsi" w:hAnsiTheme="minorHAnsi"/>
        </w:rPr>
        <w:t>.</w:t>
      </w:r>
    </w:p>
    <w:p w14:paraId="1F9A514E" w14:textId="77777777" w:rsidR="008A3F1B" w:rsidRPr="00343B99" w:rsidRDefault="008A3F1B" w:rsidP="00476878">
      <w:pPr>
        <w:rPr>
          <w:rFonts w:asciiTheme="minorHAnsi" w:hAnsiTheme="minorHAnsi"/>
          <w:b/>
          <w:u w:val="single"/>
        </w:rPr>
      </w:pPr>
    </w:p>
    <w:p w14:paraId="7E2DE929" w14:textId="77777777" w:rsidR="00A83499" w:rsidRDefault="00A83499">
      <w:pPr>
        <w:spacing w:after="160" w:line="259" w:lineRule="auto"/>
        <w:rPr>
          <w:rFonts w:asciiTheme="minorHAnsi" w:hAnsiTheme="minorHAnsi"/>
          <w:b/>
          <w:u w:val="single"/>
        </w:rPr>
      </w:pPr>
      <w:r>
        <w:rPr>
          <w:rFonts w:asciiTheme="minorHAnsi" w:hAnsiTheme="minorHAnsi"/>
          <w:b/>
          <w:u w:val="single"/>
        </w:rPr>
        <w:br w:type="page"/>
      </w:r>
    </w:p>
    <w:p w14:paraId="4256C334" w14:textId="77777777" w:rsidR="00476878" w:rsidRPr="00343B99" w:rsidRDefault="00915CA0" w:rsidP="00476878">
      <w:pPr>
        <w:spacing w:after="120"/>
        <w:rPr>
          <w:rFonts w:asciiTheme="minorHAnsi" w:hAnsiTheme="minorHAnsi"/>
          <w:b/>
          <w:u w:val="single"/>
        </w:rPr>
      </w:pPr>
      <w:r>
        <w:rPr>
          <w:rFonts w:asciiTheme="minorHAnsi" w:hAnsiTheme="minorHAnsi"/>
          <w:b/>
          <w:u w:val="single"/>
        </w:rPr>
        <w:lastRenderedPageBreak/>
        <w:t>Partnership</w:t>
      </w:r>
      <w:r w:rsidR="00476878" w:rsidRPr="00343B99">
        <w:rPr>
          <w:rFonts w:asciiTheme="minorHAnsi" w:hAnsiTheme="minorHAnsi"/>
          <w:b/>
          <w:u w:val="single"/>
        </w:rPr>
        <w:t xml:space="preserve"> Services</w:t>
      </w:r>
    </w:p>
    <w:p w14:paraId="158B7EBB" w14:textId="77777777" w:rsidR="00476878" w:rsidRPr="00343B99" w:rsidRDefault="00476878" w:rsidP="00476878">
      <w:pPr>
        <w:spacing w:after="120"/>
        <w:rPr>
          <w:rFonts w:asciiTheme="minorHAnsi" w:hAnsiTheme="minorHAnsi"/>
        </w:rPr>
      </w:pPr>
      <w:r w:rsidRPr="00343B99">
        <w:rPr>
          <w:rFonts w:asciiTheme="minorHAnsi" w:hAnsiTheme="minorHAnsi"/>
        </w:rPr>
        <w:t xml:space="preserve">HIOs receive the following services from the </w:t>
      </w:r>
      <w:r w:rsidR="00915CA0">
        <w:rPr>
          <w:rFonts w:asciiTheme="minorHAnsi" w:hAnsiTheme="minorHAnsi"/>
        </w:rPr>
        <w:t>Partnership</w:t>
      </w:r>
      <w:r w:rsidRPr="00343B99">
        <w:rPr>
          <w:rFonts w:asciiTheme="minorHAnsi" w:hAnsiTheme="minorHAnsi"/>
        </w:rPr>
        <w:t xml:space="preserve"> in exchange for their certification, connection to the P3N, and payment of fees. </w:t>
      </w:r>
    </w:p>
    <w:p w14:paraId="2389816F" w14:textId="77777777" w:rsidR="00476878" w:rsidRPr="00343B99" w:rsidRDefault="00476878" w:rsidP="00476878">
      <w:pPr>
        <w:pStyle w:val="ListParagraph"/>
        <w:numPr>
          <w:ilvl w:val="0"/>
          <w:numId w:val="2"/>
        </w:numPr>
        <w:spacing w:after="0" w:line="240" w:lineRule="auto"/>
        <w:contextualSpacing w:val="0"/>
        <w:rPr>
          <w:rFonts w:cstheme="minorHAnsi"/>
          <w:b/>
          <w:bCs/>
        </w:rPr>
      </w:pPr>
      <w:r w:rsidRPr="00343B99">
        <w:rPr>
          <w:rFonts w:cstheme="minorHAnsi"/>
          <w:b/>
          <w:bCs/>
        </w:rPr>
        <w:t xml:space="preserve">Citizen-centric focus and alignment </w:t>
      </w:r>
      <w:r w:rsidRPr="00343B99">
        <w:rPr>
          <w:rFonts w:cstheme="minorHAnsi"/>
        </w:rPr>
        <w:t xml:space="preserve">through facilitated conversations between participating HIOs and stakeholders that ensures both the </w:t>
      </w:r>
      <w:r w:rsidR="00915CA0">
        <w:rPr>
          <w:rFonts w:cstheme="minorHAnsi"/>
        </w:rPr>
        <w:t>Partnership</w:t>
      </w:r>
      <w:r w:rsidRPr="00343B99">
        <w:rPr>
          <w:rFonts w:cstheme="minorHAnsi"/>
        </w:rPr>
        <w:t xml:space="preserve"> and participating HIOs can represent our mutual efforts as being “the right thing to do” for Pennsylvania’s citizens, and thus worthy of both political and economic support.</w:t>
      </w:r>
    </w:p>
    <w:p w14:paraId="6D374D52" w14:textId="77777777" w:rsidR="00476878" w:rsidRPr="00343B99" w:rsidRDefault="00476878" w:rsidP="00476878">
      <w:pPr>
        <w:pStyle w:val="ListParagraph"/>
        <w:numPr>
          <w:ilvl w:val="0"/>
          <w:numId w:val="2"/>
        </w:numPr>
        <w:spacing w:after="0" w:line="240" w:lineRule="auto"/>
        <w:contextualSpacing w:val="0"/>
        <w:rPr>
          <w:rFonts w:cstheme="minorHAnsi"/>
          <w:b/>
          <w:bCs/>
        </w:rPr>
      </w:pPr>
      <w:r w:rsidRPr="00343B99">
        <w:rPr>
          <w:rFonts w:cstheme="minorHAnsi"/>
          <w:b/>
          <w:bCs/>
        </w:rPr>
        <w:t xml:space="preserve">Alignment with national and state interagency efforts </w:t>
      </w:r>
      <w:r w:rsidRPr="00343B99">
        <w:rPr>
          <w:rFonts w:cstheme="minorHAnsi"/>
        </w:rPr>
        <w:t xml:space="preserve">through </w:t>
      </w:r>
      <w:r w:rsidR="00915CA0">
        <w:rPr>
          <w:rFonts w:cstheme="minorHAnsi"/>
        </w:rPr>
        <w:t>Partnership</w:t>
      </w:r>
      <w:r w:rsidRPr="00343B99">
        <w:rPr>
          <w:rFonts w:cstheme="minorHAnsi"/>
        </w:rPr>
        <w:t xml:space="preserve"> participation in efforts such as the ONC’s Interoperability Roadmap and the State Medicaid HIT Plan. These coordination and participation efforts between the </w:t>
      </w:r>
      <w:r w:rsidR="00915CA0">
        <w:rPr>
          <w:rFonts w:cstheme="minorHAnsi"/>
        </w:rPr>
        <w:t>Partnership</w:t>
      </w:r>
      <w:r w:rsidRPr="00343B99">
        <w:rPr>
          <w:rFonts w:cstheme="minorHAnsi"/>
        </w:rPr>
        <w:t xml:space="preserve">, other state agencies, and federal efforts, helps to ensure alignment with </w:t>
      </w:r>
      <w:r w:rsidR="00915CA0">
        <w:rPr>
          <w:rFonts w:cstheme="minorHAnsi"/>
        </w:rPr>
        <w:t>Partnership</w:t>
      </w:r>
      <w:r w:rsidRPr="00343B99">
        <w:rPr>
          <w:rFonts w:cstheme="minorHAnsi"/>
        </w:rPr>
        <w:t xml:space="preserve"> strategic planning and lays the groundwork for </w:t>
      </w:r>
      <w:r w:rsidR="00915CA0">
        <w:rPr>
          <w:rFonts w:cstheme="minorHAnsi"/>
        </w:rPr>
        <w:t>Partnership</w:t>
      </w:r>
      <w:r w:rsidRPr="00343B99">
        <w:rPr>
          <w:rFonts w:cstheme="minorHAnsi"/>
        </w:rPr>
        <w:t xml:space="preserve"> access to funding to either defer costs to participating HIOs or enable grants to HIOs. </w:t>
      </w:r>
      <w:r w:rsidR="00915CA0">
        <w:rPr>
          <w:rFonts w:cstheme="minorHAnsi"/>
        </w:rPr>
        <w:t>Partnership</w:t>
      </w:r>
      <w:r w:rsidRPr="00343B99">
        <w:rPr>
          <w:rFonts w:cstheme="minorHAnsi"/>
        </w:rPr>
        <w:t xml:space="preserve"> education and outreach to HIOs concerning these efforts also helps participating HIOs avoid unexpected future disruptions driven by state or federal decisions.</w:t>
      </w:r>
    </w:p>
    <w:p w14:paraId="7D9E465C" w14:textId="77777777" w:rsidR="00476878" w:rsidRPr="00343B99" w:rsidRDefault="00476878" w:rsidP="00476878">
      <w:pPr>
        <w:pStyle w:val="ListParagraph"/>
        <w:numPr>
          <w:ilvl w:val="0"/>
          <w:numId w:val="2"/>
        </w:numPr>
      </w:pPr>
      <w:r w:rsidRPr="00343B99">
        <w:rPr>
          <w:b/>
        </w:rPr>
        <w:t>Certification program</w:t>
      </w:r>
      <w:r w:rsidRPr="00343B99">
        <w:t xml:space="preserve"> that ensures all participating HIOs are operating on a level playing field </w:t>
      </w:r>
      <w:r w:rsidR="008A3F1B" w:rsidRPr="00343B99">
        <w:t>regarding</w:t>
      </w:r>
      <w:r w:rsidRPr="00343B99">
        <w:t xml:space="preserve"> interoperability standards, privacy, and security. Enables interoperability without multiple integrations. Multiple connection models and option are supported.</w:t>
      </w:r>
    </w:p>
    <w:p w14:paraId="3BFE3620" w14:textId="77777777" w:rsidR="00476878" w:rsidRPr="00343B99" w:rsidRDefault="00476878" w:rsidP="00476878">
      <w:pPr>
        <w:pStyle w:val="ListParagraph"/>
        <w:numPr>
          <w:ilvl w:val="0"/>
          <w:numId w:val="2"/>
        </w:numPr>
      </w:pPr>
      <w:r w:rsidRPr="00343B99">
        <w:rPr>
          <w:b/>
        </w:rPr>
        <w:t>Unified legal framework</w:t>
      </w:r>
      <w:r w:rsidRPr="00343B99">
        <w:t xml:space="preserve"> such that any participating organization need only sign a participation agreement with the </w:t>
      </w:r>
      <w:r w:rsidR="00915CA0">
        <w:t>Partnership</w:t>
      </w:r>
      <w:r w:rsidRPr="00343B99">
        <w:t xml:space="preserve"> instead of working out multiple legal arrangements with other HIOs.</w:t>
      </w:r>
    </w:p>
    <w:p w14:paraId="226F4976" w14:textId="77777777" w:rsidR="00476878" w:rsidRPr="00343B99" w:rsidRDefault="00476878" w:rsidP="00476878">
      <w:pPr>
        <w:pStyle w:val="ListParagraph"/>
        <w:numPr>
          <w:ilvl w:val="0"/>
          <w:numId w:val="2"/>
        </w:numPr>
      </w:pPr>
      <w:r w:rsidRPr="00343B99">
        <w:rPr>
          <w:b/>
        </w:rPr>
        <w:t>Grant programs</w:t>
      </w:r>
      <w:r w:rsidRPr="00343B99">
        <w:t xml:space="preserve"> available only to certified HIOs to support HIOs in their development or onboarding efforts. Funding for these programs normally derives from governmental sources that would otherwise be unavailable to the commercial HIOs.</w:t>
      </w:r>
    </w:p>
    <w:p w14:paraId="2261F38F" w14:textId="77777777" w:rsidR="00476878" w:rsidRPr="00343B99" w:rsidRDefault="00476878" w:rsidP="00476878">
      <w:pPr>
        <w:pStyle w:val="ListParagraph"/>
        <w:numPr>
          <w:ilvl w:val="0"/>
          <w:numId w:val="2"/>
        </w:numPr>
      </w:pPr>
      <w:r w:rsidRPr="00343B99">
        <w:rPr>
          <w:b/>
        </w:rPr>
        <w:t>Statewide patient consent management</w:t>
      </w:r>
      <w:r w:rsidRPr="00343B99">
        <w:t xml:space="preserve"> </w:t>
      </w:r>
      <w:proofErr w:type="gramStart"/>
      <w:r w:rsidRPr="00343B99">
        <w:t>including</w:t>
      </w:r>
      <w:proofErr w:type="gramEnd"/>
      <w:r w:rsidRPr="00343B99">
        <w:t xml:space="preserve"> a single, easily accessed repository for </w:t>
      </w:r>
      <w:proofErr w:type="gramStart"/>
      <w:r w:rsidRPr="00343B99">
        <w:t>patients’</w:t>
      </w:r>
      <w:proofErr w:type="gramEnd"/>
      <w:r w:rsidRPr="00343B99">
        <w:t xml:space="preserve"> opt-out and opt-back-in choices, using a statewide </w:t>
      </w:r>
      <w:r w:rsidR="00915CA0">
        <w:t>Partnership</w:t>
      </w:r>
      <w:r w:rsidRPr="00343B99">
        <w:t xml:space="preserve"> opt-out/opt-back-in form available to all HIOs and connected providers.</w:t>
      </w:r>
    </w:p>
    <w:p w14:paraId="22C97790" w14:textId="77777777" w:rsidR="008A3F1B" w:rsidRPr="00343B99" w:rsidRDefault="008A3F1B" w:rsidP="008A3F1B">
      <w:pPr>
        <w:pStyle w:val="ListParagraph"/>
        <w:numPr>
          <w:ilvl w:val="0"/>
          <w:numId w:val="2"/>
        </w:numPr>
      </w:pPr>
      <w:bookmarkStart w:id="4" w:name="_Hlk534617375"/>
      <w:r w:rsidRPr="00343B99">
        <w:rPr>
          <w:b/>
        </w:rPr>
        <w:t>Statewide patient identity management</w:t>
      </w:r>
      <w:r w:rsidRPr="00343B99">
        <w:t xml:space="preserve"> to enable consent management and clinical document exchange.</w:t>
      </w:r>
    </w:p>
    <w:p w14:paraId="25FC9526" w14:textId="77777777" w:rsidR="00476878" w:rsidRPr="00343B99" w:rsidRDefault="00476878" w:rsidP="008A3F1B">
      <w:pPr>
        <w:pStyle w:val="ListParagraph"/>
        <w:numPr>
          <w:ilvl w:val="0"/>
          <w:numId w:val="2"/>
        </w:numPr>
      </w:pPr>
      <w:r w:rsidRPr="00343B99">
        <w:rPr>
          <w:b/>
        </w:rPr>
        <w:t xml:space="preserve">Statewide </w:t>
      </w:r>
      <w:r w:rsidR="008A3F1B">
        <w:rPr>
          <w:b/>
        </w:rPr>
        <w:t>encounter notification service</w:t>
      </w:r>
      <w:r w:rsidRPr="00343B99">
        <w:t xml:space="preserve"> to enable </w:t>
      </w:r>
      <w:r w:rsidR="008A3F1B">
        <w:t xml:space="preserve">the </w:t>
      </w:r>
      <w:r w:rsidR="008A3F1B" w:rsidRPr="008A3F1B">
        <w:t>shar</w:t>
      </w:r>
      <w:r w:rsidR="008A3F1B">
        <w:t>ing</w:t>
      </w:r>
      <w:r w:rsidR="008A3F1B" w:rsidRPr="008A3F1B">
        <w:t xml:space="preserve"> </w:t>
      </w:r>
      <w:r w:rsidR="008A3F1B">
        <w:t xml:space="preserve">of patient encounter information </w:t>
      </w:r>
      <w:r w:rsidR="008A3F1B" w:rsidRPr="008A3F1B">
        <w:t>across HIOs with standard Admission, Discharge, and Transfer (ADT) Messages</w:t>
      </w:r>
      <w:r w:rsidRPr="00343B99">
        <w:t>.</w:t>
      </w:r>
    </w:p>
    <w:bookmarkEnd w:id="4"/>
    <w:p w14:paraId="65F2915E" w14:textId="77777777" w:rsidR="00476878" w:rsidRPr="00343B99" w:rsidRDefault="00476878" w:rsidP="00476878">
      <w:pPr>
        <w:pStyle w:val="ListParagraph"/>
        <w:numPr>
          <w:ilvl w:val="0"/>
          <w:numId w:val="2"/>
        </w:numPr>
      </w:pPr>
      <w:r w:rsidRPr="00343B99">
        <w:rPr>
          <w:b/>
        </w:rPr>
        <w:t>Public health gateway</w:t>
      </w:r>
      <w:r w:rsidRPr="00343B99">
        <w:t xml:space="preserve"> that enables “one-stop-shop” connection to various government agencies. Connections via PHG include the Department of Health’s Electronic Lab Reporting Registry, Cancer Registry, Immunization Registry, and Syndromic Surveillance Registry; and the Department of Human Service’s electronic Care Quality Measures Registry. </w:t>
      </w:r>
    </w:p>
    <w:p w14:paraId="25BFB6B1" w14:textId="77777777" w:rsidR="00476878" w:rsidRPr="00343B99" w:rsidRDefault="00476878" w:rsidP="00476878">
      <w:pPr>
        <w:pStyle w:val="ListParagraph"/>
        <w:numPr>
          <w:ilvl w:val="0"/>
          <w:numId w:val="2"/>
        </w:numPr>
      </w:pPr>
      <w:r w:rsidRPr="00343B99">
        <w:rPr>
          <w:b/>
        </w:rPr>
        <w:t>Authoritative state-level provider directory</w:t>
      </w:r>
      <w:r w:rsidRPr="00343B99">
        <w:t xml:space="preserve"> that includes state licensure data for individual practitioners and facilities and national provider identifier.</w:t>
      </w:r>
    </w:p>
    <w:p w14:paraId="46D05B39" w14:textId="77777777" w:rsidR="00476878" w:rsidRPr="00343B99" w:rsidRDefault="00476878" w:rsidP="00476878">
      <w:pPr>
        <w:pStyle w:val="ListParagraph"/>
        <w:numPr>
          <w:ilvl w:val="0"/>
          <w:numId w:val="2"/>
        </w:numPr>
      </w:pPr>
      <w:r w:rsidRPr="00343B99">
        <w:rPr>
          <w:b/>
        </w:rPr>
        <w:t>Facilitated clinical document exchange</w:t>
      </w:r>
      <w:r w:rsidRPr="00343B99">
        <w:t xml:space="preserve"> on behalf of those HIOs using XDS</w:t>
      </w:r>
      <w:r w:rsidR="008A3F1B">
        <w:t xml:space="preserve"> and</w:t>
      </w:r>
      <w:r w:rsidRPr="00343B99">
        <w:t xml:space="preserve"> </w:t>
      </w:r>
      <w:r w:rsidR="008A3F1B">
        <w:t>m</w:t>
      </w:r>
      <w:r w:rsidRPr="00343B99">
        <w:t xml:space="preserve">ediated exchange on behalf of those using XCA. </w:t>
      </w:r>
    </w:p>
    <w:p w14:paraId="42487904" w14:textId="77777777" w:rsidR="00476878" w:rsidRPr="00343B99" w:rsidRDefault="00476878" w:rsidP="00476878">
      <w:pPr>
        <w:pStyle w:val="ListParagraph"/>
        <w:numPr>
          <w:ilvl w:val="0"/>
          <w:numId w:val="2"/>
        </w:numPr>
      </w:pPr>
      <w:r w:rsidRPr="00343B99">
        <w:rPr>
          <w:b/>
        </w:rPr>
        <w:t>HIE Trust Community</w:t>
      </w:r>
      <w:r w:rsidRPr="00343B99">
        <w:t xml:space="preserve"> that enables collaboration between HIOs without anti-trust concerns.</w:t>
      </w:r>
    </w:p>
    <w:p w14:paraId="71576A16" w14:textId="77777777" w:rsidR="00476878" w:rsidRPr="00343B99" w:rsidRDefault="00476878" w:rsidP="00476878">
      <w:pPr>
        <w:pStyle w:val="ListParagraph"/>
        <w:numPr>
          <w:ilvl w:val="0"/>
          <w:numId w:val="2"/>
        </w:numPr>
      </w:pPr>
      <w:r w:rsidRPr="00343B99">
        <w:rPr>
          <w:b/>
        </w:rPr>
        <w:t>Other stakeholder committee facilitation</w:t>
      </w:r>
      <w:r w:rsidRPr="00343B99">
        <w:t>, such as Privacy, Security and Standards Committee work on “Super Protected Data” as requested by the HIOs.</w:t>
      </w:r>
    </w:p>
    <w:p w14:paraId="418DD3D0" w14:textId="77777777" w:rsidR="00BA0C82" w:rsidRPr="00A83499" w:rsidRDefault="00476878" w:rsidP="00ED1650">
      <w:pPr>
        <w:pStyle w:val="ListParagraph"/>
        <w:numPr>
          <w:ilvl w:val="0"/>
          <w:numId w:val="2"/>
        </w:numPr>
        <w:rPr>
          <w:rFonts w:eastAsiaTheme="majorEastAsia"/>
        </w:rPr>
      </w:pPr>
      <w:r w:rsidRPr="00A83499">
        <w:rPr>
          <w:b/>
        </w:rPr>
        <w:t xml:space="preserve">Ongoing interstate engagement efforts </w:t>
      </w:r>
      <w:r w:rsidRPr="00343B99">
        <w:t>addressing both technical connections and legal frameworks. Connections to other states expected to phase in over the next several years.</w:t>
      </w:r>
    </w:p>
    <w:sectPr w:rsidR="00BA0C82" w:rsidRPr="00A83499" w:rsidSect="00AC1413">
      <w:headerReference w:type="default" r:id="rId11"/>
      <w:headerReference w:type="first" r:id="rId12"/>
      <w:footerReference w:type="first" r:id="rId13"/>
      <w:pgSz w:w="12240" w:h="15840"/>
      <w:pgMar w:top="1440" w:right="1440" w:bottom="720" w:left="1440" w:header="720" w:footer="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7FEF" w14:textId="77777777" w:rsidR="00445E4C" w:rsidRDefault="00445E4C" w:rsidP="00BA0C82">
      <w:r>
        <w:separator/>
      </w:r>
    </w:p>
  </w:endnote>
  <w:endnote w:type="continuationSeparator" w:id="0">
    <w:p w14:paraId="7DC29BF7" w14:textId="77777777" w:rsidR="00445E4C" w:rsidRDefault="00445E4C" w:rsidP="00BA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D45D" w14:textId="77777777" w:rsidR="00476878" w:rsidRDefault="00476878" w:rsidP="00476878">
    <w:pPr>
      <w:pStyle w:val="Footer"/>
      <w:jc w:val="center"/>
      <w:rPr>
        <w:color w:val="4472C4" w:themeColor="accent1"/>
        <w:sz w:val="16"/>
        <w:szCs w:val="16"/>
      </w:rPr>
    </w:pPr>
    <w:r>
      <w:rPr>
        <w:noProof/>
        <w:sz w:val="16"/>
        <w:szCs w:val="16"/>
      </w:rPr>
      <mc:AlternateContent>
        <mc:Choice Requires="wps">
          <w:drawing>
            <wp:anchor distT="0" distB="0" distL="114300" distR="114300" simplePos="0" relativeHeight="251665408" behindDoc="0" locked="0" layoutInCell="1" allowOverlap="1" wp14:anchorId="0F1B5E7A" wp14:editId="3DF4EB11">
              <wp:simplePos x="0" y="0"/>
              <wp:positionH relativeFrom="margin">
                <wp:align>right</wp:align>
              </wp:positionH>
              <wp:positionV relativeFrom="paragraph">
                <wp:posOffset>414</wp:posOffset>
              </wp:positionV>
              <wp:extent cx="5922976" cy="45719"/>
              <wp:effectExtent l="0" t="0" r="20955" b="31115"/>
              <wp:wrapNone/>
              <wp:docPr id="1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976" cy="45719"/>
                      </a:xfrm>
                      <a:prstGeom prst="straightConnector1">
                        <a:avLst/>
                      </a:prstGeom>
                      <a:noFill/>
                      <a:ln w="6350">
                        <a:solidFill>
                          <a:srgbClr val="4472C4">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ACD41B" id="_x0000_t32" coordsize="21600,21600" o:spt="32" o:oned="t" path="m,l21600,21600e" filled="f">
              <v:path arrowok="t" fillok="f" o:connecttype="none"/>
              <o:lock v:ext="edit" shapetype="t"/>
            </v:shapetype>
            <v:shape id="AutoShape 1" o:spid="_x0000_s1026" type="#_x0000_t32" style="position:absolute;margin-left:415.2pt;margin-top:.05pt;width:466.4pt;height:3.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" strokecolor="#4472c4" strokeweight=".5pt">
              <v:shadow color="#1f3763 [1604]" opacity=".5" offset="1pt"/>
              <w10:wrap anchorx="margin"/>
            </v:shape>
          </w:pict>
        </mc:Fallback>
      </mc:AlternateContent>
    </w:r>
  </w:p>
  <w:p w14:paraId="2EB7E6A7" w14:textId="77777777" w:rsidR="00476878" w:rsidRPr="00176780" w:rsidRDefault="00476878" w:rsidP="00476878">
    <w:pPr>
      <w:pStyle w:val="Footer"/>
      <w:jc w:val="center"/>
      <w:rPr>
        <w:color w:val="4472C4" w:themeColor="accent1"/>
        <w:sz w:val="16"/>
        <w:szCs w:val="16"/>
      </w:rPr>
    </w:pPr>
    <w:r w:rsidRPr="00176780">
      <w:rPr>
        <w:color w:val="4472C4" w:themeColor="accent1"/>
        <w:sz w:val="16"/>
        <w:szCs w:val="16"/>
      </w:rPr>
      <w:t xml:space="preserve">Pennsylvania eHealth Partnership </w:t>
    </w:r>
    <w:r>
      <w:rPr>
        <w:color w:val="4472C4" w:themeColor="accent1"/>
        <w:sz w:val="16"/>
        <w:szCs w:val="16"/>
      </w:rPr>
      <w:t>Program, Pennsylvania Department of Human Services</w:t>
    </w:r>
  </w:p>
  <w:p w14:paraId="6018599A" w14:textId="77777777" w:rsidR="00476878" w:rsidRDefault="00476878" w:rsidP="00476878">
    <w:pPr>
      <w:pStyle w:val="Footer"/>
      <w:jc w:val="center"/>
      <w:rPr>
        <w:sz w:val="16"/>
        <w:szCs w:val="16"/>
      </w:rPr>
    </w:pPr>
    <w:r>
      <w:rPr>
        <w:color w:val="4472C4" w:themeColor="accent1"/>
        <w:sz w:val="16"/>
        <w:szCs w:val="16"/>
      </w:rPr>
      <w:t>625 Forster St, Room 515 |</w:t>
    </w:r>
    <w:r w:rsidRPr="00280F3E">
      <w:rPr>
        <w:color w:val="4472C4" w:themeColor="accent1"/>
        <w:sz w:val="16"/>
        <w:szCs w:val="16"/>
      </w:rPr>
      <w:t xml:space="preserve"> </w:t>
    </w:r>
    <w:r w:rsidRPr="00176780">
      <w:rPr>
        <w:color w:val="4472C4" w:themeColor="accent1"/>
        <w:sz w:val="16"/>
        <w:szCs w:val="16"/>
      </w:rPr>
      <w:t>Harrisburg, PA 17120</w:t>
    </w:r>
    <w:r>
      <w:rPr>
        <w:color w:val="4472C4" w:themeColor="accent1"/>
        <w:sz w:val="16"/>
        <w:szCs w:val="16"/>
      </w:rPr>
      <w:t xml:space="preserve"> |</w:t>
    </w:r>
    <w:r w:rsidRPr="00280F3E">
      <w:rPr>
        <w:color w:val="4472C4" w:themeColor="accent1"/>
        <w:sz w:val="16"/>
        <w:szCs w:val="16"/>
      </w:rPr>
      <w:t xml:space="preserve"> </w:t>
    </w:r>
    <w:r w:rsidRPr="00176780">
      <w:rPr>
        <w:color w:val="4472C4" w:themeColor="accent1"/>
        <w:sz w:val="16"/>
        <w:szCs w:val="16"/>
      </w:rPr>
      <w:t>717.265.7850</w:t>
    </w:r>
    <w:r>
      <w:rPr>
        <w:color w:val="4472C4" w:themeColor="accent1"/>
        <w:sz w:val="16"/>
        <w:szCs w:val="16"/>
      </w:rPr>
      <w:t xml:space="preserve"> |</w:t>
    </w:r>
    <w:r>
      <w:rPr>
        <w:rFonts w:ascii="Tahoma" w:hAnsi="Tahoma" w:cs="Tahoma"/>
        <w:color w:val="1F497D"/>
        <w:sz w:val="20"/>
        <w:szCs w:val="20"/>
      </w:rPr>
      <w:t xml:space="preserve"> </w:t>
    </w:r>
    <w:r w:rsidRPr="00176780">
      <w:rPr>
        <w:color w:val="4472C4" w:themeColor="accent1"/>
        <w:sz w:val="16"/>
        <w:szCs w:val="16"/>
      </w:rPr>
      <w:t>Fax 717.</w:t>
    </w:r>
    <w:r>
      <w:rPr>
        <w:color w:val="4472C4" w:themeColor="accent1"/>
        <w:sz w:val="16"/>
        <w:szCs w:val="16"/>
      </w:rPr>
      <w:t xml:space="preserve">346.6772 </w:t>
    </w:r>
  </w:p>
  <w:p w14:paraId="213246FC" w14:textId="77777777" w:rsidR="00476878" w:rsidRDefault="0047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5FFF" w14:textId="77777777" w:rsidR="00445E4C" w:rsidRDefault="00445E4C" w:rsidP="00BA0C82">
      <w:bookmarkStart w:id="0" w:name="_Hlk534212431"/>
      <w:bookmarkEnd w:id="0"/>
      <w:r>
        <w:separator/>
      </w:r>
    </w:p>
  </w:footnote>
  <w:footnote w:type="continuationSeparator" w:id="0">
    <w:p w14:paraId="57C4CA9E" w14:textId="77777777" w:rsidR="00445E4C" w:rsidRDefault="00445E4C" w:rsidP="00BA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21AD" w14:textId="77777777" w:rsidR="005F5365" w:rsidRDefault="00476878">
    <w:pPr>
      <w:pStyle w:val="Header"/>
    </w:pPr>
    <w:r>
      <w:rPr>
        <w:b/>
      </w:rPr>
      <w:t xml:space="preserve">P3N </w:t>
    </w:r>
    <w:r w:rsidRPr="00E0021F">
      <w:rPr>
        <w:b/>
      </w:rPr>
      <w:t>HIO Fee Model and Schedule</w:t>
    </w:r>
  </w:p>
  <w:sdt>
    <w:sdtPr>
      <w:id w:val="1758631921"/>
      <w:docPartObj>
        <w:docPartGallery w:val="Page Numbers (Top of Page)"/>
        <w:docPartUnique/>
      </w:docPartObj>
    </w:sdtPr>
    <w:sdtContent>
      <w:p w14:paraId="0627A5B8" w14:textId="77777777" w:rsidR="00104765" w:rsidRPr="00104765" w:rsidRDefault="00104765" w:rsidP="00104765">
        <w:pPr>
          <w:pStyle w:val="Footer"/>
        </w:pPr>
        <w:r w:rsidRPr="00104765">
          <w:t xml:space="preserve">Page </w:t>
        </w:r>
        <w:r w:rsidRPr="00104765">
          <w:rPr>
            <w:bCs/>
            <w:sz w:val="24"/>
            <w:szCs w:val="24"/>
          </w:rPr>
          <w:fldChar w:fldCharType="begin"/>
        </w:r>
        <w:r w:rsidRPr="00104765">
          <w:rPr>
            <w:bCs/>
          </w:rPr>
          <w:instrText xml:space="preserve"> PAGE </w:instrText>
        </w:r>
        <w:r w:rsidRPr="00104765">
          <w:rPr>
            <w:bCs/>
            <w:sz w:val="24"/>
            <w:szCs w:val="24"/>
          </w:rPr>
          <w:fldChar w:fldCharType="separate"/>
        </w:r>
        <w:r w:rsidR="006D2DC1">
          <w:rPr>
            <w:bCs/>
            <w:noProof/>
          </w:rPr>
          <w:t>5</w:t>
        </w:r>
        <w:r w:rsidRPr="00104765">
          <w:rPr>
            <w:bCs/>
            <w:sz w:val="24"/>
            <w:szCs w:val="24"/>
          </w:rPr>
          <w:fldChar w:fldCharType="end"/>
        </w:r>
        <w:r w:rsidRPr="00104765">
          <w:t xml:space="preserve"> of </w:t>
        </w:r>
        <w:r w:rsidRPr="00104765">
          <w:rPr>
            <w:bCs/>
            <w:sz w:val="24"/>
            <w:szCs w:val="24"/>
          </w:rPr>
          <w:fldChar w:fldCharType="begin"/>
        </w:r>
        <w:r w:rsidRPr="00104765">
          <w:rPr>
            <w:bCs/>
          </w:rPr>
          <w:instrText xml:space="preserve"> NUMPAGES  </w:instrText>
        </w:r>
        <w:r w:rsidRPr="00104765">
          <w:rPr>
            <w:bCs/>
            <w:sz w:val="24"/>
            <w:szCs w:val="24"/>
          </w:rPr>
          <w:fldChar w:fldCharType="separate"/>
        </w:r>
        <w:r w:rsidR="006D2DC1">
          <w:rPr>
            <w:bCs/>
            <w:noProof/>
          </w:rPr>
          <w:t>5</w:t>
        </w:r>
        <w:r w:rsidRPr="00104765">
          <w:rPr>
            <w:bCs/>
            <w:sz w:val="24"/>
            <w:szCs w:val="24"/>
          </w:rPr>
          <w:fldChar w:fldCharType="end"/>
        </w:r>
      </w:p>
    </w:sdtContent>
  </w:sdt>
  <w:p w14:paraId="3A0D3C57" w14:textId="77777777" w:rsidR="005F5365" w:rsidRDefault="005F5365" w:rsidP="00104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3CEE" w14:textId="77777777" w:rsidR="00476878" w:rsidRDefault="00476878" w:rsidP="00476878">
    <w:pPr>
      <w:pStyle w:val="Header"/>
    </w:pPr>
    <w:r>
      <w:rPr>
        <w:rFonts w:eastAsiaTheme="majorEastAsia" w:cstheme="minorHAnsi"/>
        <w:noProof/>
        <w:color w:val="323E4F" w:themeColor="text2" w:themeShade="BF"/>
        <w:spacing w:val="5"/>
        <w:kern w:val="28"/>
        <w:sz w:val="36"/>
        <w:szCs w:val="52"/>
      </w:rPr>
      <w:drawing>
        <wp:anchor distT="0" distB="0" distL="114300" distR="114300" simplePos="0" relativeHeight="251663360" behindDoc="1" locked="0" layoutInCell="1" allowOverlap="1" wp14:anchorId="463190FF" wp14:editId="7711C339">
          <wp:simplePos x="0" y="0"/>
          <wp:positionH relativeFrom="margin">
            <wp:posOffset>-103836</wp:posOffset>
          </wp:positionH>
          <wp:positionV relativeFrom="page">
            <wp:posOffset>309300</wp:posOffset>
          </wp:positionV>
          <wp:extent cx="2276475" cy="914400"/>
          <wp:effectExtent l="0" t="0" r="0" b="0"/>
          <wp:wrapThrough wrapText="bothSides">
            <wp:wrapPolygon edited="0">
              <wp:start x="1627" y="1800"/>
              <wp:lineTo x="904" y="4050"/>
              <wp:lineTo x="723" y="16650"/>
              <wp:lineTo x="1085" y="17100"/>
              <wp:lineTo x="5784" y="19350"/>
              <wp:lineTo x="7411" y="19350"/>
              <wp:lineTo x="20787" y="17100"/>
              <wp:lineTo x="21148" y="10350"/>
              <wp:lineTo x="15906" y="9900"/>
              <wp:lineTo x="16268" y="4050"/>
              <wp:lineTo x="14822" y="3600"/>
              <wp:lineTo x="2531" y="1800"/>
              <wp:lineTo x="1627" y="180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Health logo.png"/>
                  <pic:cNvPicPr/>
                </pic:nvPicPr>
                <pic:blipFill>
                  <a:blip r:embed="rId1">
                    <a:extLst>
                      <a:ext uri="{28A0092B-C50C-407E-A947-70E740481C1C}">
                        <a14:useLocalDpi xmlns:a14="http://schemas.microsoft.com/office/drawing/2010/main" val="0"/>
                      </a:ext>
                    </a:extLst>
                  </a:blip>
                  <a:stretch>
                    <a:fillRect/>
                  </a:stretch>
                </pic:blipFill>
                <pic:spPr>
                  <a:xfrm>
                    <a:off x="0" y="0"/>
                    <a:ext cx="2276475" cy="914400"/>
                  </a:xfrm>
                  <a:prstGeom prst="rect">
                    <a:avLst/>
                  </a:prstGeom>
                </pic:spPr>
              </pic:pic>
            </a:graphicData>
          </a:graphic>
        </wp:anchor>
      </w:drawing>
    </w:r>
    <w:r w:rsidRPr="005F5365">
      <w:rPr>
        <w:noProof/>
      </w:rPr>
      <w:drawing>
        <wp:inline distT="0" distB="0" distL="0" distR="0" wp14:anchorId="6F80DF26" wp14:editId="69731714">
          <wp:extent cx="5943600" cy="14287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142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2CF5"/>
    <w:multiLevelType w:val="hybridMultilevel"/>
    <w:tmpl w:val="B7F6EA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4A5DA9"/>
    <w:multiLevelType w:val="hybridMultilevel"/>
    <w:tmpl w:val="B11AC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6595263">
    <w:abstractNumId w:val="0"/>
  </w:num>
  <w:num w:numId="2" w16cid:durableId="13514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82"/>
    <w:rsid w:val="00036ACF"/>
    <w:rsid w:val="000749DE"/>
    <w:rsid w:val="00101B66"/>
    <w:rsid w:val="00104765"/>
    <w:rsid w:val="0011031D"/>
    <w:rsid w:val="00185234"/>
    <w:rsid w:val="001E2B06"/>
    <w:rsid w:val="002073E3"/>
    <w:rsid w:val="00230692"/>
    <w:rsid w:val="00240D9E"/>
    <w:rsid w:val="00276928"/>
    <w:rsid w:val="00343B99"/>
    <w:rsid w:val="00344547"/>
    <w:rsid w:val="00370DBF"/>
    <w:rsid w:val="00386250"/>
    <w:rsid w:val="003A0720"/>
    <w:rsid w:val="003C4DB7"/>
    <w:rsid w:val="003E38A9"/>
    <w:rsid w:val="003F783A"/>
    <w:rsid w:val="00442710"/>
    <w:rsid w:val="00445E4C"/>
    <w:rsid w:val="0045143B"/>
    <w:rsid w:val="00476878"/>
    <w:rsid w:val="00493589"/>
    <w:rsid w:val="004E0226"/>
    <w:rsid w:val="00502A88"/>
    <w:rsid w:val="0051255C"/>
    <w:rsid w:val="005E7925"/>
    <w:rsid w:val="005F5365"/>
    <w:rsid w:val="00645499"/>
    <w:rsid w:val="00647EC4"/>
    <w:rsid w:val="006805AF"/>
    <w:rsid w:val="00687AFE"/>
    <w:rsid w:val="006D2DC1"/>
    <w:rsid w:val="007954B8"/>
    <w:rsid w:val="007A505F"/>
    <w:rsid w:val="00841F2C"/>
    <w:rsid w:val="008A3F1B"/>
    <w:rsid w:val="008B5EFB"/>
    <w:rsid w:val="008E5C9F"/>
    <w:rsid w:val="00915CA0"/>
    <w:rsid w:val="0092750F"/>
    <w:rsid w:val="009275F8"/>
    <w:rsid w:val="00931931"/>
    <w:rsid w:val="00974E77"/>
    <w:rsid w:val="00976266"/>
    <w:rsid w:val="00A05C7A"/>
    <w:rsid w:val="00A440F7"/>
    <w:rsid w:val="00A83499"/>
    <w:rsid w:val="00A9361C"/>
    <w:rsid w:val="00AB3176"/>
    <w:rsid w:val="00AC1413"/>
    <w:rsid w:val="00AC73F0"/>
    <w:rsid w:val="00BA0C82"/>
    <w:rsid w:val="00BE2178"/>
    <w:rsid w:val="00BE364E"/>
    <w:rsid w:val="00C1512F"/>
    <w:rsid w:val="00C34A90"/>
    <w:rsid w:val="00C8418F"/>
    <w:rsid w:val="00CF2263"/>
    <w:rsid w:val="00D15708"/>
    <w:rsid w:val="00D16D63"/>
    <w:rsid w:val="00D90C90"/>
    <w:rsid w:val="00E20E75"/>
    <w:rsid w:val="00E718D8"/>
    <w:rsid w:val="00EB0AF8"/>
    <w:rsid w:val="00F050BD"/>
    <w:rsid w:val="00F3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6D0A9"/>
  <w15:chartTrackingRefBased/>
  <w15:docId w15:val="{AA99C398-B838-4DED-9528-6A80DE79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C8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A0C82"/>
  </w:style>
  <w:style w:type="paragraph" w:styleId="Footer">
    <w:name w:val="footer"/>
    <w:basedOn w:val="Normal"/>
    <w:link w:val="FooterChar"/>
    <w:uiPriority w:val="99"/>
    <w:unhideWhenUsed/>
    <w:rsid w:val="00BA0C8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A0C82"/>
  </w:style>
  <w:style w:type="paragraph" w:styleId="ListParagraph">
    <w:name w:val="List Paragraph"/>
    <w:basedOn w:val="Normal"/>
    <w:uiPriority w:val="34"/>
    <w:qFormat/>
    <w:rsid w:val="00476878"/>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76878"/>
    <w:rPr>
      <w:color w:val="0563C1" w:themeColor="hyperlink"/>
      <w:u w:val="single"/>
    </w:rPr>
  </w:style>
  <w:style w:type="table" w:styleId="TableGrid">
    <w:name w:val="Table Grid"/>
    <w:basedOn w:val="TableNormal"/>
    <w:uiPriority w:val="39"/>
    <w:rsid w:val="0010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AF"/>
    <w:rPr>
      <w:rFonts w:ascii="Segoe UI" w:eastAsia="Times New Roman" w:hAnsi="Segoe UI" w:cs="Segoe UI"/>
      <w:sz w:val="18"/>
      <w:szCs w:val="18"/>
    </w:rPr>
  </w:style>
  <w:style w:type="character" w:customStyle="1" w:styleId="font131">
    <w:name w:val="font131"/>
    <w:basedOn w:val="DefaultParagraphFont"/>
    <w:rsid w:val="00101B66"/>
    <w:rPr>
      <w:rFonts w:ascii="Calibri" w:hAnsi="Calibri" w:hint="default"/>
      <w:b w:val="0"/>
      <w:bCs w:val="0"/>
      <w:i w:val="0"/>
      <w:iCs w:val="0"/>
      <w:strike w:val="0"/>
      <w:dstrike w:val="0"/>
      <w:color w:val="auto"/>
      <w:sz w:val="22"/>
      <w:szCs w:val="22"/>
      <w:u w:val="none"/>
      <w:effect w:val="none"/>
    </w:rPr>
  </w:style>
  <w:style w:type="character" w:customStyle="1" w:styleId="font81">
    <w:name w:val="font81"/>
    <w:basedOn w:val="DefaultParagraphFont"/>
    <w:rsid w:val="00101B66"/>
    <w:rPr>
      <w:rFonts w:ascii="Calibri" w:hAnsi="Calibri"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101B66"/>
    <w:rPr>
      <w:rFonts w:ascii="Calibri" w:hAnsi="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101B66"/>
    <w:rPr>
      <w:rFonts w:ascii="Calibri" w:hAnsi="Calibri" w:hint="default"/>
      <w:b/>
      <w:bCs/>
      <w:i w:val="0"/>
      <w:iCs w:val="0"/>
      <w:strike w:val="0"/>
      <w:dstrike w:val="0"/>
      <w:color w:val="000000"/>
      <w:sz w:val="22"/>
      <w:szCs w:val="22"/>
      <w:u w:val="none"/>
      <w:effect w:val="none"/>
    </w:rPr>
  </w:style>
  <w:style w:type="character" w:customStyle="1" w:styleId="font91">
    <w:name w:val="font91"/>
    <w:basedOn w:val="DefaultParagraphFont"/>
    <w:rsid w:val="00101B66"/>
    <w:rPr>
      <w:rFonts w:ascii="Calibri" w:hAnsi="Calibri" w:hint="default"/>
      <w:b/>
      <w:bCs/>
      <w:i w:val="0"/>
      <w:iCs w:val="0"/>
      <w:color w:val="FFFFFF"/>
      <w:sz w:val="22"/>
      <w:szCs w:val="22"/>
      <w:u w:val="single"/>
    </w:rPr>
  </w:style>
  <w:style w:type="character" w:customStyle="1" w:styleId="font61">
    <w:name w:val="font61"/>
    <w:basedOn w:val="DefaultParagraphFont"/>
    <w:rsid w:val="00101B66"/>
    <w:rPr>
      <w:rFonts w:ascii="Calibri" w:hAnsi="Calibri" w:hint="default"/>
      <w:b/>
      <w:bCs/>
      <w:i w:val="0"/>
      <w:iCs w:val="0"/>
      <w:strike w:val="0"/>
      <w:dstrike w:val="0"/>
      <w:color w:val="FFFFFF"/>
      <w:sz w:val="22"/>
      <w:szCs w:val="22"/>
      <w:u w:val="none"/>
      <w:effect w:val="none"/>
    </w:rPr>
  </w:style>
  <w:style w:type="character" w:customStyle="1" w:styleId="font101">
    <w:name w:val="font101"/>
    <w:basedOn w:val="DefaultParagraphFont"/>
    <w:rsid w:val="00101B66"/>
    <w:rPr>
      <w:rFonts w:ascii="Calibri" w:hAnsi="Calibri" w:hint="default"/>
      <w:b w:val="0"/>
      <w:bCs w:val="0"/>
      <w:i w:val="0"/>
      <w:iCs w:val="0"/>
      <w:color w:val="auto"/>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44285">
      <w:bodyDiv w:val="1"/>
      <w:marLeft w:val="0"/>
      <w:marRight w:val="0"/>
      <w:marTop w:val="0"/>
      <w:marBottom w:val="0"/>
      <w:divBdr>
        <w:top w:val="none" w:sz="0" w:space="0" w:color="auto"/>
        <w:left w:val="none" w:sz="0" w:space="0" w:color="auto"/>
        <w:bottom w:val="none" w:sz="0" w:space="0" w:color="auto"/>
        <w:right w:val="none" w:sz="0" w:space="0" w:color="auto"/>
      </w:divBdr>
    </w:div>
    <w:div w:id="451746678">
      <w:bodyDiv w:val="1"/>
      <w:marLeft w:val="0"/>
      <w:marRight w:val="0"/>
      <w:marTop w:val="0"/>
      <w:marBottom w:val="0"/>
      <w:divBdr>
        <w:top w:val="none" w:sz="0" w:space="0" w:color="auto"/>
        <w:left w:val="none" w:sz="0" w:space="0" w:color="auto"/>
        <w:bottom w:val="none" w:sz="0" w:space="0" w:color="auto"/>
        <w:right w:val="none" w:sz="0" w:space="0" w:color="auto"/>
      </w:divBdr>
    </w:div>
    <w:div w:id="1076198048">
      <w:bodyDiv w:val="1"/>
      <w:marLeft w:val="0"/>
      <w:marRight w:val="0"/>
      <w:marTop w:val="0"/>
      <w:marBottom w:val="0"/>
      <w:divBdr>
        <w:top w:val="none" w:sz="0" w:space="0" w:color="auto"/>
        <w:left w:val="none" w:sz="0" w:space="0" w:color="auto"/>
        <w:bottom w:val="none" w:sz="0" w:space="0" w:color="auto"/>
        <w:right w:val="none" w:sz="0" w:space="0" w:color="auto"/>
      </w:divBdr>
    </w:div>
    <w:div w:id="19409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rsa.gov/healthit/toolbox/RuralHealthITtoolbox/Introduction/critica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8075e6-b85a-4446-b52c-463eb0f4634e">
      <Terms xmlns="http://schemas.microsoft.com/office/infopath/2007/PartnerControls"/>
    </lcf76f155ced4ddcb4097134ff3c332f>
    <TaxCatchAll xmlns="999da329-6321-443d-b1d8-0452fae03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321F6AFB270478CF9B2B07E1939E2" ma:contentTypeVersion="17" ma:contentTypeDescription="Create a new document." ma:contentTypeScope="" ma:versionID="6a9cec848e05b8b4c14ccb9ea1dc56f9">
  <xsd:schema xmlns:xsd="http://www.w3.org/2001/XMLSchema" xmlns:xs="http://www.w3.org/2001/XMLSchema" xmlns:p="http://schemas.microsoft.com/office/2006/metadata/properties" xmlns:ns2="a68075e6-b85a-4446-b52c-463eb0f4634e" xmlns:ns3="999da329-6321-443d-b1d8-0452fae03074" targetNamespace="http://schemas.microsoft.com/office/2006/metadata/properties" ma:root="true" ma:fieldsID="a645d45077909d1c78f10b56cd2c758b" ns2:_="" ns3:_="">
    <xsd:import namespace="a68075e6-b85a-4446-b52c-463eb0f4634e"/>
    <xsd:import namespace="999da329-6321-443d-b1d8-0452fae030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075e6-b85a-4446-b52c-463eb0f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da329-6321-443d-b1d8-0452fae030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1b7c7c-65fc-4c3e-b6e5-478c086f675b}" ma:internalName="TaxCatchAll" ma:showField="CatchAllData" ma:web="999da329-6321-443d-b1d8-0452fae03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38FF0-CA76-4979-9715-5CACFBC0C275}">
  <ds:schemaRefs>
    <ds:schemaRef ds:uri="http://schemas.microsoft.com/office/2006/metadata/properties"/>
    <ds:schemaRef ds:uri="http://schemas.microsoft.com/office/infopath/2007/PartnerControls"/>
    <ds:schemaRef ds:uri="a68075e6-b85a-4446-b52c-463eb0f4634e"/>
    <ds:schemaRef ds:uri="999da329-6321-443d-b1d8-0452fae03074"/>
  </ds:schemaRefs>
</ds:datastoreItem>
</file>

<file path=customXml/itemProps2.xml><?xml version="1.0" encoding="utf-8"?>
<ds:datastoreItem xmlns:ds="http://schemas.openxmlformats.org/officeDocument/2006/customXml" ds:itemID="{2B4564B6-BDDB-4621-B76C-14AB016872EA}">
  <ds:schemaRefs>
    <ds:schemaRef ds:uri="http://schemas.microsoft.com/sharepoint/v3/contenttype/forms"/>
  </ds:schemaRefs>
</ds:datastoreItem>
</file>

<file path=customXml/itemProps3.xml><?xml version="1.0" encoding="utf-8"?>
<ds:datastoreItem xmlns:ds="http://schemas.openxmlformats.org/officeDocument/2006/customXml" ds:itemID="{DFBAEF82-B032-4652-9E86-5EEE9504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075e6-b85a-4446-b52c-463eb0f4634e"/>
    <ds:schemaRef ds:uri="999da329-6321-443d-b1d8-0452fae0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4235</TotalTime>
  <Pages>5</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Terri</dc:creator>
  <cp:keywords/>
  <dc:description/>
  <cp:lastModifiedBy>Stermer, Christy</cp:lastModifiedBy>
  <cp:revision>27</cp:revision>
  <cp:lastPrinted>2019-01-07T14:53:00Z</cp:lastPrinted>
  <dcterms:created xsi:type="dcterms:W3CDTF">2021-04-20T18:16:00Z</dcterms:created>
  <dcterms:modified xsi:type="dcterms:W3CDTF">2026-06-16T12:40:00Z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0x010100F6D321F6AFB270478CF9B2B07E1939E2</vt:lpwstr>
  </property>
  <property fmtid="{D5CDD505-2E9C-101B-9397-08002B2CF9AE}" pid="3" name="Order">
    <vt:r8>1784400</vt:r8>
  </property>
  <property fmtid="{D5CDD505-2E9C-101B-9397-08002B2CF9AE}" pid="4" name="MediaServiceImageTags">
    <vt:lpwstr/>
  </property>
</Properties>
</file>